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158B" w14:textId="77777777" w:rsidR="004775B8" w:rsidRDefault="004775B8" w:rsidP="00754BCE">
      <w:pPr>
        <w:spacing w:after="0" w:line="240" w:lineRule="auto"/>
        <w:ind w:left="4111" w:right="5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</w:rPr>
        <w:t>Додаток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FE7AA5" w14:textId="77777777" w:rsidR="004775B8" w:rsidRDefault="004775B8" w:rsidP="00754BCE">
      <w:pPr>
        <w:spacing w:after="0" w:line="240" w:lineRule="auto"/>
        <w:ind w:left="4111" w:right="5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до </w:t>
      </w:r>
      <w:proofErr w:type="spellStart"/>
      <w:r>
        <w:rPr>
          <w:rFonts w:ascii="Times New Roman" w:eastAsia="Times New Roman" w:hAnsi="Times New Roman" w:cs="Times New Roman"/>
        </w:rPr>
        <w:t>рішення</w:t>
      </w:r>
      <w:proofErr w:type="spellEnd"/>
      <w:r>
        <w:rPr>
          <w:rFonts w:ascii="Times New Roman" w:eastAsia="Times New Roman" w:hAnsi="Times New Roman" w:cs="Times New Roman"/>
        </w:rPr>
        <w:t xml:space="preserve"> Великодимерської </w:t>
      </w:r>
    </w:p>
    <w:p w14:paraId="4FB3DD3D" w14:textId="77777777" w:rsidR="004775B8" w:rsidRDefault="004775B8" w:rsidP="00754BCE">
      <w:pPr>
        <w:spacing w:after="0" w:line="240" w:lineRule="auto"/>
        <w:ind w:left="4111" w:right="5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</w:rPr>
        <w:t>селищної</w:t>
      </w:r>
      <w:proofErr w:type="spellEnd"/>
      <w:r>
        <w:rPr>
          <w:rFonts w:ascii="Times New Roman" w:eastAsia="Times New Roman" w:hAnsi="Times New Roman" w:cs="Times New Roman"/>
        </w:rPr>
        <w:t xml:space="preserve"> ради від </w:t>
      </w:r>
      <w:r>
        <w:rPr>
          <w:rFonts w:ascii="Times New Roman" w:eastAsia="Times New Roman" w:hAnsi="Times New Roman" w:cs="Times New Roman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№ </w:t>
      </w:r>
    </w:p>
    <w:p w14:paraId="423B4A12" w14:textId="77777777" w:rsidR="004775B8" w:rsidRDefault="004775B8" w:rsidP="00754BCE">
      <w:pPr>
        <w:spacing w:line="240" w:lineRule="auto"/>
        <w:ind w:left="4111" w:right="566"/>
        <w:jc w:val="both"/>
        <w:rPr>
          <w:rFonts w:ascii="Times New Roman" w:eastAsia="Times New Roman" w:hAnsi="Times New Roman" w:cs="Times New Roman"/>
        </w:rPr>
      </w:pPr>
    </w:p>
    <w:p w14:paraId="0E92E371" w14:textId="77777777" w:rsidR="00261569" w:rsidRDefault="004775B8" w:rsidP="0026156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95775E" w14:textId="5009446D" w:rsidR="004775B8" w:rsidRDefault="004775B8" w:rsidP="0026156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</w:p>
    <w:p w14:paraId="6815A5E1" w14:textId="77777777" w:rsidR="00261569" w:rsidRPr="00261569" w:rsidRDefault="00261569" w:rsidP="0026156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114164" w14:textId="77777777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І. ЗАГАЛЬНА ЧАСТИНА</w:t>
      </w:r>
    </w:p>
    <w:p w14:paraId="7D06770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1.Положення про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24, 75-781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169, 172, 182, 327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26, 59, 60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майна» № 157-IX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03.10.2019 р.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Закон),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КМУ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03.06.2020 р. № 483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C12839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передачею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D4E3B1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вживаються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Законом. </w:t>
      </w:r>
    </w:p>
    <w:p w14:paraId="6D3E1DC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Передача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справедливості</w:t>
      </w:r>
      <w:proofErr w:type="spellEnd"/>
    </w:p>
    <w:p w14:paraId="030A14B9" w14:textId="77777777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ІІ. ОБ’ЄКТИ ОРЕНДИ</w:t>
      </w:r>
    </w:p>
    <w:p w14:paraId="34C9A93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є: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комплекси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відокремлених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підрозділів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споруди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(без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викупу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(без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викупу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76C882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становить 1 (один) кв. м. </w:t>
      </w:r>
    </w:p>
    <w:p w14:paraId="59B1333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3 Закону.</w:t>
      </w:r>
    </w:p>
    <w:p w14:paraId="7E068B09" w14:textId="3DB5BC33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ІІІ. ОРЕНДОДАВЦІ</w:t>
      </w:r>
    </w:p>
    <w:p w14:paraId="5C10D21A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комплексів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увійшло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статутного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Рада)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ради. </w:t>
      </w:r>
    </w:p>
    <w:p w14:paraId="0C5916C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14:paraId="50CB6FE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400 м2 на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7913083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науково-практичних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7FED687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суб’єктам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виборчого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публічних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дебатів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дискусій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та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виборчої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кампанії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678B0B7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науково-практичних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строк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кожного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конгресів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виставок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6F2034B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</w:t>
      </w:r>
    </w:p>
    <w:p w14:paraId="41945C2D" w14:textId="77777777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ОРЕНДАРІ</w:t>
      </w:r>
    </w:p>
    <w:p w14:paraId="73A10DA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особи, у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іноземних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міжнародні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особи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 4. ст. 4 Закону.</w:t>
      </w:r>
    </w:p>
    <w:p w14:paraId="36B74A16" w14:textId="77777777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ПОВНОВАЖЕННЯ ОРГАНІВ МІСЦЕВОГО САМОВРЯДУВАННЯ ВЕЛИКОДИМЕРСЬКОЇ СЕЛИЩНОЇ ТЕРИТОРІАЛЬНОЇ ГРОМАДИ ЩОДО ОРЕНДИ КОМУНАЛЬНОГО МАЙНА</w:t>
      </w:r>
    </w:p>
    <w:p w14:paraId="30A20A61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Рада: </w:t>
      </w:r>
    </w:p>
    <w:p w14:paraId="537503A7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B1A0465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ст. 6 Закону; </w:t>
      </w:r>
    </w:p>
    <w:p w14:paraId="402771A8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скасовує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одного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4400123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788403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86D614C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плати; </w:t>
      </w:r>
    </w:p>
    <w:p w14:paraId="573A8443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плати; </w:t>
      </w:r>
    </w:p>
    <w:p w14:paraId="7AF0EE81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7FAC7D9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поточного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віднесеного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Ради; </w:t>
      </w:r>
    </w:p>
    <w:p w14:paraId="3AD18269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віднесеного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Ради. </w:t>
      </w:r>
    </w:p>
    <w:p w14:paraId="5617F4DC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4C0ED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9EA0238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статут/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балансоутиримувача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163C1B5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B0B32C5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скасовує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типу; </w:t>
      </w:r>
    </w:p>
    <w:p w14:paraId="17A76657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C0DE8FB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поточного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віднесеного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CAFA2B4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комплексів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заходах контролю разом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FDFD8C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018BBD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B5A9BEA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Законом; </w:t>
      </w:r>
    </w:p>
    <w:p w14:paraId="3E1C3A12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вносить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торгівельної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ЕТС); </w:t>
      </w:r>
    </w:p>
    <w:p w14:paraId="5BECAB1D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статутом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Ради; </w:t>
      </w:r>
    </w:p>
    <w:p w14:paraId="216D6AED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8 Закону; </w:t>
      </w:r>
    </w:p>
    <w:p w14:paraId="7DABD571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зарахуванні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4285DF7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 </w:t>
      </w:r>
    </w:p>
    <w:p w14:paraId="029D760E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A9A7C4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пунктах 11-13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Законом, актами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установчими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регламентними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актами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14:paraId="76B008D5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95FEA5" w14:textId="77777777" w:rsidR="004775B8" w:rsidRDefault="004775B8" w:rsidP="00754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ІНІЦІАТИВА ЩОДО ОРЕНДИ МАЙНА ТА ПОРЯДОК ЙОГО ПЕРЕДАЧІ</w:t>
      </w:r>
    </w:p>
    <w:p w14:paraId="1356BDC3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1BA8FB3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D277FCB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F5E90AD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9E1060E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8B4A6F0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20C53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зацікавлений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через ЕТС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звертається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майна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типу. </w:t>
      </w:r>
    </w:p>
    <w:p w14:paraId="0856CB2D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8F7957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82EA005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ідентифікувати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FBDE079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2593C54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до 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03.06.2020 р. № 483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Порядок КМУ); </w:t>
      </w:r>
    </w:p>
    <w:p w14:paraId="546C2919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погодинно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181F7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5) тип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193D16D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доцільності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до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ED5FD44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контактні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адреса, номер телефону, адреса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ідентифікаційний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до Порядку КМУ. </w:t>
      </w:r>
    </w:p>
    <w:p w14:paraId="6A852F1F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61FC29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майна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особою. </w:t>
      </w:r>
    </w:p>
    <w:p w14:paraId="1492B2B1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137E4B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звертається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майна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типу. Така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E7DEE8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E0F570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3349CA3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469CF9C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ст. 7 Закону.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абзацу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статуту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повинен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передачу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 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повинен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пізніше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40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32B227C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4E8EEE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CE1295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6FEAEEF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ABBAF6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надсилає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типу за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іншої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особи, яка подана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інформує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ініціатора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заяви такого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ініціатора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A37DA0C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307198" w14:textId="77777777" w:rsidR="004775B8" w:rsidRPr="003B338E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намір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доцільність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E82A25F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вносить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ЕТС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строки,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одного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виступати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органом; </w:t>
      </w:r>
    </w:p>
    <w:p w14:paraId="149BDB4D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надсилає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ЕТС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строки,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звертається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одного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D20803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38C2B5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приймалень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науково-практичних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строк,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календарних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шести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надаються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суб’єктам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виборчого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публічних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дебатів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дискусій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час та 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виборчої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кампанії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приймається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Радою.</w:t>
      </w:r>
    </w:p>
    <w:p w14:paraId="1D6641F6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927A43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надсилає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визначеному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1)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ЕТС через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особистий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кабінет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внести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запропонувати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розкрито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суперечливо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DAB9CE9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693461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скасовано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внесена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EB063D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0B577D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5281F9E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F51B5A1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CB1DB65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-культурного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спорту); </w:t>
      </w:r>
    </w:p>
    <w:p w14:paraId="2E3A9FD6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A12AF09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закріплене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банком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закріплене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банком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готівки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банку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готівкового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грошового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обігу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9D19B06" w14:textId="77777777" w:rsidR="004775B8" w:rsidRDefault="004775B8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конкретним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профілю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конкретним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майна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такими закладами,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обслуговуванням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відвідувачів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науковопрактичних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соціальнокультурного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аварійному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500 кв.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становить 500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погіршує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соціальнопобутових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спорту, баз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олімпійської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паралімпійської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фізкультурнооздоровчих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лікувальних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лікувально-фізкультурних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лікувальнопрофілактичних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набрання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B20B1BD" w14:textId="77777777" w:rsidR="00754BCE" w:rsidRPr="00754BCE" w:rsidRDefault="00754BCE" w:rsidP="007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351C34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недоцільність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дня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другого типу,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комерційно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привабливим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та є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недоцільним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другого типу. У такому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пропонує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заявнику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подати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другого типу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подати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другого типу.</w:t>
      </w:r>
    </w:p>
    <w:p w14:paraId="6587EDBA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29.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типу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п. 3 і п. 8 ч. 1 ст. 7 Закону,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надсилає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ініціатору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копію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повинна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причини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усунення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недоліків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конкретний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типу та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уточнену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ініціатором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уточнену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орендодавцю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типу (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приймалося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типу)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одразу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балансоутримувачу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приймалося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типу),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намір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типу та (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намір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приймається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типу.</w:t>
      </w:r>
    </w:p>
    <w:p w14:paraId="2AB7D58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30.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станом на дату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988926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статуту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вчиняти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764A5B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36882B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31.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орган,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надсилає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12AAE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ЕТС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строки: </w:t>
      </w:r>
    </w:p>
    <w:p w14:paraId="7533D647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типу,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відбулося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ч. 2 ст. 6 Закону; </w:t>
      </w:r>
    </w:p>
    <w:p w14:paraId="60B06AF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заяви 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включеного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типу;</w:t>
      </w:r>
    </w:p>
    <w:p w14:paraId="6B0535D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3) у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відбулося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11 Закону.</w:t>
      </w:r>
    </w:p>
    <w:p w14:paraId="41F043D7" w14:textId="504F7142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 ВИЗНАЧЕННЯ ОРЕНДНОЇ ПЛАТИ, ІНШИХ ПЛАТЕЖІВ ТА ВСТАНОВЛЕННЯ СТРОКУ ОРЕНДИ</w:t>
      </w:r>
    </w:p>
    <w:p w14:paraId="39675FF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число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DD8ED1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60CFA0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дорівнює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нулю; </w:t>
      </w:r>
    </w:p>
    <w:p w14:paraId="0ADFC00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відсотків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первісної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44D565F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ЕТС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і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бухгалтерського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9B67845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оціночної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830D557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475687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конкурсу,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строк.</w:t>
      </w:r>
    </w:p>
    <w:p w14:paraId="27363CE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оціночна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37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відшкодувати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CA69CA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оціночна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Порядком КМУ) як особи,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49535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оціночна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Методики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E0FB64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39.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оціночну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актами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 </w:t>
      </w:r>
    </w:p>
    <w:p w14:paraId="1BCFC08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C1A61AD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зберігається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21E0C5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Орендна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плата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встановлюється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грошовій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Строки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плати та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3B338E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Порядком</w:t>
      </w:r>
      <w:proofErr w:type="gram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договорі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DB8C4E1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43. Початок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нарахування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плати та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платежів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пов'язаних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починається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приймання-передачі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об'єкта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договору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(у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дня,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наступного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 днем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(у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аукціон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465A10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приймання-передачі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9DECF8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3CD177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E08D48A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Методикою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плати.</w:t>
      </w:r>
    </w:p>
    <w:p w14:paraId="63CE9C7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складу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прибудинкової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ремонту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інженерного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внутрішньобудинкових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мереж,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т. ч.: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покрівлі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фасаду,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сміття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85504C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47.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становить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п’ять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0A4283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сезонний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характер; 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погодинного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 З моменту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моменту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50 Порядку КМУ,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A6D5F6" w14:textId="12B8C367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VIII. ПОРЯДОК ПЕРЕДАЧІ МАЙНА В ОРЕНДУ ШЛЯХОМ ПРОВЕДЕННЯ ЕЛЕКТРОННОГО АУКЦІОНУ</w:t>
      </w:r>
    </w:p>
    <w:p w14:paraId="3F6B295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48. Передача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D1EBD5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49.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переможців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Порядку КМУ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516872" w14:textId="552CF266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IX. ПОРЯДОК ПЕРЕДАЧІ В ОРЕНДУ МАЙНА БЕЗ ПРОВЕДЕННЯ ЕЛЕКТРОННОГО АУКЦІОНУ</w:t>
      </w:r>
    </w:p>
    <w:p w14:paraId="2120DB1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50.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типу,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ст. 15 Закону. </w:t>
      </w:r>
    </w:p>
    <w:p w14:paraId="04810C8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майна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абзацу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третього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19 Закону)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повинен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опублікувати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ЕТС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 </w:t>
      </w:r>
    </w:p>
    <w:p w14:paraId="65CB038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Методики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плати, та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52C2A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розробляються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A038458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статуту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майна;</w:t>
      </w:r>
    </w:p>
    <w:p w14:paraId="53F91CD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повинен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передачу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дискримінації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Забороняється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Радою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Радою.</w:t>
      </w:r>
    </w:p>
    <w:p w14:paraId="16D3CA55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майна: </w:t>
      </w:r>
    </w:p>
    <w:p w14:paraId="5605E62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Порядку КМУ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п’ять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B5A9C97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47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36187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ремонтних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(поточного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реставрації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інвестиційних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межах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C5524E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досвіду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-культурного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спорту)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повинен подати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досвіду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975C16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-культурного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спорту); </w:t>
      </w:r>
    </w:p>
    <w:p w14:paraId="0589868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представницького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посилання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7FBABEA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ч.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абзаців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11-12 ч. 2 ст. 15 Закону,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включено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(у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з таким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56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FED79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55.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сплачувати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Методики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плати.</w:t>
      </w:r>
    </w:p>
    <w:p w14:paraId="37A0D248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6 п. 113 Порядку КМУ.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Народний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адміністративно-територіальної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(району,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району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селища, села)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адміністративно-територіальній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народного депутата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“Про статус народного депутата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2FAFF09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BAEBCC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ст. 15 Закону; </w:t>
      </w:r>
    </w:p>
    <w:p w14:paraId="498D2743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ст. 15 Закону,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72810A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абзацом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11-12 ч. 2 ст. 15 Закону,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714A6C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E4FB3C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невідповідності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4, 15 Закону; </w:t>
      </w:r>
    </w:p>
    <w:p w14:paraId="72B1BB8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недостовірної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звернувся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Порядку КМУ; </w:t>
      </w:r>
    </w:p>
    <w:p w14:paraId="277508A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D904C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запланованих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науковопрактичних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провадить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конгресів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виставок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399C6B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художньою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радою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установи, закладу,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D688A88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ст. 7 Закону. </w:t>
      </w:r>
    </w:p>
    <w:p w14:paraId="3E97648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подано особами,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15 Закону,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56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0F7DF03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3365B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адресу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ED2A97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наведену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типу; </w:t>
      </w:r>
    </w:p>
    <w:p w14:paraId="52BD62E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688E64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F6226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Методики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плати,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погодинного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5991CA1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контактні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(номер телефону і адреса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яку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заінтересовані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звертатися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час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903A36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 (банку, казначейства),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місцезнаходження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номери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іноземній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валюті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розрахунків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BA1BE8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181045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58.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оприлюднення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інформаційного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суб’єкти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статтею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15 Закону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 без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зазначеним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інформаційному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повідомленні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право подати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додані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пунктом 113 Порядку КМУ.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потенційні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подають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орендодавцю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оригінали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дня,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наступного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 днем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строку 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351A3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59.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D3C2A5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подано одним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п. 57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303A0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п. 60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D2EAE6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56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невідповідності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кваліфікаційним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до Порядку КМУ. </w:t>
      </w:r>
    </w:p>
    <w:p w14:paraId="62E678E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60.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і того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абзацами 3, 5 та 6 ч. 2 ст. 15 Закону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майстерні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119 Порядку КМУ 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і того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і того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абзацами 4, 9 ч. 2 ст. 15 Закону,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закладами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засновані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неприбутковими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об’єднаннями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Союзу,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особою,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найвищий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однаковий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особою,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і того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особою,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і того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народних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особою,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B9A9B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і того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подано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і того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такою особою,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і того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особою,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B16D62" w14:textId="77777777" w:rsidR="004775B8" w:rsidRDefault="004775B8" w:rsidP="00754BCE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абзацами 3, 5 та 6 ч. 2 ст. 15 Закону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майстерні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разом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до Порядку КМУ.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викладених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Нараховані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кожному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підсумовуються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нараховується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подали заяви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типу, за такою формулою:</w:t>
      </w:r>
    </w:p>
    <w:p w14:paraId="78BE2B81" w14:textId="77777777" w:rsidR="004775B8" w:rsidRDefault="004775B8" w:rsidP="00754B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bookmark=id.30j0zll" w:colFirst="0" w:colLast="0"/>
      <w:bookmarkEnd w:id="0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6058D036" wp14:editId="4A3896F6">
            <wp:extent cx="1341120" cy="586740"/>
            <wp:effectExtent l="0" t="0" r="0" b="0"/>
            <wp:docPr id="6" name="image2.jpg" descr="https://zakon.rada.gov.ua/laws/file/imgs/81/p495918n860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zakon.rada.gov.ua/laws/file/imgs/81/p495918n860-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86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97EB13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 Ni — сума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22117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сума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B03F83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256197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подали заяви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типу; </w:t>
      </w:r>
    </w:p>
    <w:p w14:paraId="1C1CC39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687BF3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критерієм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 два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BF482A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ч. 1 ст. 15 Закону,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подати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оприлюднення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майна. 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540736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типу, а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типу; </w:t>
      </w:r>
    </w:p>
    <w:p w14:paraId="449767D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особою; </w:t>
      </w:r>
    </w:p>
    <w:p w14:paraId="7F76A87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задоволенні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недоцільним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вакантний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уже включено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другого типу.</w:t>
      </w:r>
    </w:p>
    <w:p w14:paraId="0629105C" w14:textId="385C24CC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X. ПОРЯДОК УКЛАДЕННЯ ДОГОВОРУ ОРЕНДИ</w:t>
      </w:r>
    </w:p>
    <w:p w14:paraId="70653F1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Радою. </w:t>
      </w:r>
    </w:p>
    <w:p w14:paraId="7732FD05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A219FB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нотаріальному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посвідченню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п’ять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F9869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66.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майна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сплатити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авансовий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порядку,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опублікованому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авансовий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платежів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пропорцій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Радою. </w:t>
      </w:r>
    </w:p>
    <w:p w14:paraId="5DAD884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приймання-передачі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завантажує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приймання-передачі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межах строку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пунктом. </w:t>
      </w:r>
    </w:p>
    <w:p w14:paraId="6552E16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68.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переможець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сплатити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авансовий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порядку,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опублікованим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9D96F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авансовий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платежів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пропорцій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Радою. </w:t>
      </w:r>
    </w:p>
    <w:p w14:paraId="33B643B3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69.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дня,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днем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протоколу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особистий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4FF10E" w14:textId="41FC759C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XI. СТРАХУВАННЯ ОБ'ЄКТА ОРЕНДИ</w:t>
      </w:r>
    </w:p>
    <w:p w14:paraId="7FDFADC7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календарних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зобов’язаний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застрахувати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орендоване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 —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суму: </w:t>
      </w:r>
    </w:p>
    <w:p w14:paraId="431AA9B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ECFBF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добуток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договором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помножений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100,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майна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здійснювалася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поновлювати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застрахованим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моменту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звільнений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E8BE915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календарних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завірені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платіжного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платіжних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доручень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страхового платежу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платежів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879B24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72. Оплата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FB8497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своєчасність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та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розірвання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BE762F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74.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пошкоджене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комплексу)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CCD740" w14:textId="0D38B0CD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XII. ПЕРЕДАЧА МАЙНА В СУБОРЕНДУ</w:t>
      </w:r>
    </w:p>
    <w:p w14:paraId="2B6AA89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письмовою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5 та 6 п.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Письмова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передачу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розміщенням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письмовій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переможцю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D16EF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письмову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суборенди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зобов’язаний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подати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орендодавцю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примірник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суборенди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суборендаря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визначеному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ч. 3 ст. 13 Закону,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підтверджує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сплату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реєстраційного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внеску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та документа,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підтверджує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сплату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гарантійного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внеску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оператора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майданчика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9A944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77. Передача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конкурсу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набрання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Законом. Передача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комплексів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B3666F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звільняє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119EEE7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 6 ст. 22 Закону.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повинен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AEEB21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233E41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81. Плата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за договором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сплачується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23EB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Різниця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платою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платою за договором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перемоги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розсуд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EBDB34" w14:textId="52E354C1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XIII. ПОРЯДОК ВНЕСЕННЯ ЗМІН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ОРЕНДИ</w:t>
      </w:r>
    </w:p>
    <w:p w14:paraId="144517B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 Закону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9AB4EF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C01869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уточненням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інвентаризації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зміненою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первісним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становить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50 м2 та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первісним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договором; </w:t>
      </w:r>
    </w:p>
    <w:p w14:paraId="61952A6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самостійним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попитом, та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особам. 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звертається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2892383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приєднання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входу і доступ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неможливий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 доступу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100 %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приєднання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один раз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формулою:</w:t>
      </w:r>
    </w:p>
    <w:p w14:paraId="52242DDC" w14:textId="77777777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Опл.н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Опл.д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Пд</w:t>
      </w:r>
      <w:proofErr w:type="spellEnd"/>
    </w:p>
    <w:p w14:paraId="2D7385E3" w14:textId="77777777" w:rsidR="00C60C40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Опл.н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Опл.д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плата за договором; </w:t>
      </w:r>
    </w:p>
    <w:p w14:paraId="244251A6" w14:textId="77777777" w:rsidR="00C60C40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1001F85" w14:textId="43E43141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договором. </w:t>
      </w:r>
    </w:p>
    <w:p w14:paraId="0CC61FEA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договором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погодинну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використовуватиметься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6 годин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погодинно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вихідний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день.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пропорційно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зміненій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поширюються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7C30B6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85.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строк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п’ять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з моменту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продовжувався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задоволенню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зареєстровано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громадою у державному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станом на дату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станом на дату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мінімальним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примірним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 Закону,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перебіг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ретроактивно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приймання-передачі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за договором,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вносяться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вимагається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викладений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нотаріальному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посвідченню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986AF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4D7B8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набрання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конкурсу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претендентом (за результатом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попиту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в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державного майна,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призведе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плати, яку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сплачує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конкурсу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попиту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21898B9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набрання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4BC19A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87.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призупинення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F31360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пунктами 79; </w:t>
      </w:r>
    </w:p>
    <w:p w14:paraId="0DF23E8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обставини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пошкодження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обстави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непереборної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сторонами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приймання-передачі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того стану,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обставин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потребуватиме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тимчасове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звільнення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1566DC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88.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(у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BF55B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89.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звертається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486489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338E"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245BCCD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задоволенні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заяви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пунктом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868E6E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надсилає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уповноваженому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статуту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40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погодженні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338E"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погодженні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40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погодженням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338E"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338E"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надсилає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лист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B7005D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мотивоване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задоволенні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9DBB1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доповнення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доповнень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A13D65" w14:textId="77777777" w:rsidR="00C60C40" w:rsidRDefault="00C60C40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BFD3C9" w14:textId="77777777" w:rsidR="00C60C40" w:rsidRDefault="00C60C40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D8B0CF" w14:textId="77777777" w:rsidR="00C60C40" w:rsidRPr="00C60C40" w:rsidRDefault="00C60C40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201A7C" w14:textId="7637575D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XIV. ПОЛІПШЕННЯ ОРЕНДОВАНОГО МАЙНА</w:t>
      </w:r>
    </w:p>
    <w:p w14:paraId="3BA4BD85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письмовою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поточний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звертається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ремонту.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A07732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ремонтних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ADA79B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орієнтовний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7C185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першою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21 Закону.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додаткової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ремонтних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(поточного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реставрації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поточного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пункту. Згода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BE26D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неможливо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незадовільного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один раз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звертається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плати.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передбачуваних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кошторис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E57F52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одне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третьою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21 Закону. </w:t>
      </w:r>
    </w:p>
    <w:p w14:paraId="41522583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засвідчують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початку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оціночної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ремонту”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ремонту”.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150 кв.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оплату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75D953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абзацу 2 ч. 2 ст. 21 Закону,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на 50 % на строк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шести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раз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96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F1F0A9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занедбана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пам’ятка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реставрацію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передачу майна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реставрації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на 50%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строк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один раз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реставрації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E6EB1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розрахунками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прогнозовані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винятком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ремонтних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пунктами 93-95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становитимуть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відсотків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оціночної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станом на будь-яку дату поточного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звернутися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погодженні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4-6 ст. 21 Закону.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візуального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фотографічні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Noto Sans Symbols" w:eastAsia="Noto Sans Symbols" w:hAnsi="Noto Sans Symbols" w:cs="Noto Sans Symbols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Ради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D6E60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вилучати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п. 93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таким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вилучати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абзацом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ч. 3 ст. 25 Закону.</w:t>
      </w:r>
    </w:p>
    <w:p w14:paraId="24440F7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поточного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ремонтних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клопотання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торговій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12D99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100.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Радою. </w:t>
      </w:r>
    </w:p>
    <w:p w14:paraId="0831817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завершення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замовником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підрядником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21 Закону,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150 м2,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оплату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E41953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21 Закону,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п. 103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таких умов: </w:t>
      </w:r>
    </w:p>
    <w:p w14:paraId="6507368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неможливо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відокремити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заподіяння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відсотків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п. 103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ремонтних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зараховані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пунктами 93-95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0C3AC23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письмову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21 Закону,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DAFA56A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склад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підлягають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п. 104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669A028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заборгованість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плати;</w:t>
      </w:r>
    </w:p>
    <w:p w14:paraId="7D3217C3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5C6900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103.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незалежного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оцінювача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повинна бути проведена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шість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та не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пізніше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 три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місяці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строку договору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Оцінювач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ринкову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Рецензування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(акта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оціночну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14:paraId="2D8F02BA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104.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майна)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рецензію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102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разом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687249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розміру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оголошенні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відмовлено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письмовому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такому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приймання-передачі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98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умов:</w:t>
      </w:r>
    </w:p>
    <w:p w14:paraId="5BF536C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платежів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договором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відшкодування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платежів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попереднім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збитків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майну,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9427AF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106.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приватизацію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майна”. </w:t>
      </w:r>
    </w:p>
    <w:p w14:paraId="3673D19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невід’ємних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поліпшень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зроблених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21 Закону,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підлягає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3D27E3" w14:textId="441F702A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XV. ПОРЯДОК ЗДІЙСНЕННЯ САМОВРЯДНОГО КОНТРОЛЮ ЗА ВИКОРИСТАННЯМ МАЙНА ТЕРИТОРІАЛЬНОЇ ГРОМАДИ, ПЕРЕДАНОГО В ОРЕНДУ</w:t>
      </w:r>
    </w:p>
    <w:p w14:paraId="092FFD9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заходами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є: 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контроль); </w:t>
      </w:r>
    </w:p>
    <w:p w14:paraId="11215B3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комплексний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оглядом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контроль). </w:t>
      </w:r>
    </w:p>
    <w:p w14:paraId="47B3EA2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109. Контроль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на: 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C2B7A7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 </w:t>
      </w:r>
    </w:p>
    <w:p w14:paraId="0B070BD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є органом,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віднесено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особливостями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Ради,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віднесене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85D14D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110.Під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Конституцією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законами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законодавчими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актами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посадових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також договором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контроль. </w:t>
      </w:r>
    </w:p>
    <w:p w14:paraId="15F438C5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111.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надсилати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органам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юридичним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незалежно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зобов'язань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32A2C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109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9C6605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Протиправний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недопуск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абзаці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умов договору та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розірвання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Факт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недопущення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про недопуск. 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примірниках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присутні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примірник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акту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надсилається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адресу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вказану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502959A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перевіряються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F31E8D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договором); </w:t>
      </w:r>
    </w:p>
    <w:p w14:paraId="58BF882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гіршому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зносу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46D6410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займаної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приймання-передавання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майна; </w:t>
      </w:r>
    </w:p>
    <w:p w14:paraId="248906E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щомісяця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7DB8F1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чинного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D0D026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відшкодування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щомісяця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7722FBB7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114.Під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перевіряються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1F9FE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плати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щомісяця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C455315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чинного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A910607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ч. 3 ст. 4 Закону. </w:t>
      </w:r>
    </w:p>
    <w:p w14:paraId="18A0F34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збігається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п. 114-115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1A13E6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116.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невідкладно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договором. </w:t>
      </w:r>
    </w:p>
    <w:p w14:paraId="51E51425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також: </w:t>
      </w:r>
    </w:p>
    <w:p w14:paraId="5C42B7F7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698677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відокремленого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підрозділу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C6B0FA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розпорядчого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особи, 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селищна рада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розпорядженням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селищного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8031C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щорічними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планами-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план-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раз на три роки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пізніше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місяць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Плани-графіки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затверджуються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розпорядчим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актом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пізніше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грудня року,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передує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плановому та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оприлюднюються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5 (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Ради, 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окремого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веб-сайту у органа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безпосередньо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- також і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ресурсах.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план-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підлягають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оприлюдненню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такому ж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 строки.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плані-графіку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об'єкт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орієнтовний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Позаплановий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плану-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обґрунтуванням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правоохоронних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також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ініціативою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015EC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позапланового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пізніше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5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п’ять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9EC654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перевіряються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62B2E8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1A5AD3E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BF3F68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946163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CF7FEB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121.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підтверджувати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 Такими документами,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виключно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бути:</w:t>
      </w:r>
    </w:p>
    <w:p w14:paraId="136B33D7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амортизаційних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відрахувань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2B06DF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договори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майна; </w:t>
      </w:r>
    </w:p>
    <w:p w14:paraId="157657D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майна; </w:t>
      </w:r>
    </w:p>
    <w:p w14:paraId="7813DFA3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відомості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7773F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оформлені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виправлень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пропущених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завірені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особою,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(у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робляться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оригіналів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5AA7A49D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своєчасно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достовірність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абзаці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недостовірної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умов договору та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ініціювання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розірвання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C63007C" w14:textId="77777777" w:rsidR="004775B8" w:rsidRPr="003B338E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123.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напрямами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п. 121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формою,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додатком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1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примірників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залучених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338E">
        <w:rPr>
          <w:rFonts w:ascii="Times New Roman" w:eastAsia="Times New Roman" w:hAnsi="Times New Roman" w:cs="Times New Roman"/>
          <w:sz w:val="28"/>
          <w:szCs w:val="28"/>
        </w:rPr>
        <w:t>до контролю</w:t>
      </w:r>
      <w:proofErr w:type="gram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До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підтверджують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стан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уповноважених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факт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підтверджується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відповідним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записом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звіті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посвідчується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усіма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контролю.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примірник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надсилається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орендодавцем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поштову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адресу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вказану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договорі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169301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3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124. 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вжити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усунення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338E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B3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комплексного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періодичного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контролю. Днем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6124DE0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надсилання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оформленої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договором); </w:t>
      </w:r>
    </w:p>
    <w:p w14:paraId="17427347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відправлення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B4D29A8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день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надсилання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відправлення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надісланого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вказаною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Ухиленням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відправлення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уповноваженим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представником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у строк,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A43FB16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 125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усунув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орендодавець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балансоутримувач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вживає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042194" w14:textId="051ECBF6" w:rsidR="004775B8" w:rsidRDefault="004775B8" w:rsidP="00754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XVІ. ПРИКІНЦЕВІ ПОЛОЖЕННЯ</w:t>
      </w:r>
    </w:p>
    <w:p w14:paraId="5289198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126.Передача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пам’яткою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та Порядком КМУ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0A47C0C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127.Продовження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згодою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аукціонів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порядку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та Порядком КМУ. </w:t>
      </w:r>
    </w:p>
    <w:p w14:paraId="7137C0CF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нормами Закону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03.06.2020 р. № 483, а також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2ECA722" w14:textId="77777777" w:rsidR="004775B8" w:rsidRDefault="004775B8" w:rsidP="00754B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D48669" w14:textId="77777777" w:rsidR="004775B8" w:rsidRDefault="004775B8" w:rsidP="00754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Тимчасово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здійснюючий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повноваження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33559CB" w14:textId="77777777" w:rsidR="004775B8" w:rsidRDefault="004775B8" w:rsidP="00754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                                Олександр БОРСУК</w:t>
      </w:r>
    </w:p>
    <w:p w14:paraId="20C27D97" w14:textId="77777777" w:rsidR="004775B8" w:rsidRDefault="004775B8" w:rsidP="00754BCE">
      <w:pPr>
        <w:spacing w:line="240" w:lineRule="auto"/>
        <w:rPr>
          <w:rFonts w:ascii="Calibri" w:eastAsia="Calibri" w:hAnsi="Calibri" w:cs="Calibri"/>
        </w:rPr>
      </w:pPr>
    </w:p>
    <w:p w14:paraId="29E88E8B" w14:textId="77777777" w:rsidR="00496327" w:rsidRDefault="00496327" w:rsidP="00496327">
      <w:pPr>
        <w:rPr>
          <w:rFonts w:ascii="Calibri" w:eastAsia="Calibri" w:hAnsi="Calibri" w:cs="Calibri"/>
        </w:rPr>
      </w:pPr>
    </w:p>
    <w:p w14:paraId="5BE19C2D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5E30B23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659554C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35B3BED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F449C62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7ADCFD2" w14:textId="77777777" w:rsidR="001B40C1" w:rsidRDefault="00496327" w:rsidP="001B4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A08CCF" w14:textId="4AED2B95" w:rsidR="001B40C1" w:rsidRPr="001B40C1" w:rsidRDefault="001B40C1" w:rsidP="001B4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B4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Положення</w:t>
      </w:r>
      <w:proofErr w:type="spellEnd"/>
      <w:r w:rsidRPr="001B4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порядок </w:t>
      </w:r>
    </w:p>
    <w:p w14:paraId="16C1A67B" w14:textId="5C46CEF8" w:rsidR="00496327" w:rsidRDefault="001B40C1" w:rsidP="001B4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B4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передачі</w:t>
      </w:r>
      <w:proofErr w:type="spellEnd"/>
      <w:r w:rsidRPr="001B4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1B40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B4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оренду</w:t>
      </w:r>
      <w:proofErr w:type="spellEnd"/>
      <w:r w:rsidRPr="001B4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комунального майна</w:t>
      </w:r>
    </w:p>
    <w:p w14:paraId="55D241DD" w14:textId="77777777" w:rsidR="00C60C40" w:rsidRDefault="00C60C40" w:rsidP="00496327">
      <w:pPr>
        <w:ind w:firstLine="4253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A16B3A0" w14:textId="4DE67EAA" w:rsidR="00496327" w:rsidRDefault="00496327" w:rsidP="00496327">
      <w:pPr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Зразок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2A907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Звіт</w:t>
      </w:r>
      <w:proofErr w:type="spellEnd"/>
    </w:p>
    <w:p w14:paraId="464B483C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періодичного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оренди</w:t>
      </w:r>
      <w:proofErr w:type="spellEnd"/>
    </w:p>
    <w:p w14:paraId="511F05B4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 “____” 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 р.</w:t>
      </w:r>
      <w:proofErr w:type="gramEnd"/>
    </w:p>
    <w:p w14:paraId="2E2AB76A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CB1C00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підписалися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5FDF236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особи): ________________________________ _________________________________________________________________________________ (П.І.П посада) _________________________________________________________________________________ (П.І.П посада) _________________________________________________________________________________ (П.І.П посада) </w:t>
      </w:r>
    </w:p>
    <w:p w14:paraId="7A41BCA8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особи): ___________________________ _________________________________________________________________________________ (П.І.П посада) </w:t>
      </w:r>
    </w:p>
    <w:p w14:paraId="46EF7E54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Уповноваженого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___________ _________________________________________________________________________________ (П.І.П посада) </w:t>
      </w:r>
    </w:p>
    <w:p w14:paraId="6CCE3BBF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уповноважених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_____________________________________: </w:t>
      </w:r>
    </w:p>
    <w:p w14:paraId="3ED7096B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ІПН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у ЄДРПОУ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A913199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 __________________________________________________________________________________ __________________________________________________________________________________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П.І.П. та посади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________ _______ р. по ________ _______ р.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__________________ __________________________________________________________________________________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 __________________________________________________________________________________,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дозволяють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ідентифікувати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Орендаря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 __________________________________________________________________________________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реквізити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Контроль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_____________________________________________________ __________________________________________________________________________________ __________________________________________________________________________________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реквізити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акту, 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позапланових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 п. 119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реквізити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контролю)</w:t>
      </w:r>
    </w:p>
    <w:p w14:paraId="0F28B1B9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контролю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 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підтверджувати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майна: __________________________________________________________________________________ __________________________________________________________________________________ __________________________________________________________________________________. </w:t>
      </w:r>
    </w:p>
    <w:p w14:paraId="2736B257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наслідками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орендованого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майна. __________________________________________________________________________________ __________________________________________________________________________________ __________________________________________________________________________________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пункту договору)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 __________________________________________________________________________________ __________________________________________________________________________________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усунення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8648CEB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іззазначенням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реквізитів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аркушів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документа): 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примірниках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__________________________________________________________________________________ (П.І.П посада) __________________________________________________________________________________ (П.І.П посада)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__________________________________________________________________________________ (П.І.П посада) __________________________________________________________________________________ (П.І.П посада) __________________________________________________________________________________ (П.І.П посада) __________________________________________________________________________________ (П.І.П посада) </w:t>
      </w:r>
    </w:p>
    <w:p w14:paraId="447F00FE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примірнику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відмовився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посвідчується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__________________________________________________________________________________ (П.І.П посада) __________________________________________________________________________________</w:t>
      </w:r>
    </w:p>
    <w:p w14:paraId="5755E039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 (П.І.П посада) __________________________________________________________________________________ (П.І.П посада) __________________________________________________________________________________ (П.І.П посада) __________________________________________________________________________________ (П.І.П посада) </w:t>
      </w:r>
    </w:p>
    <w:p w14:paraId="1487BD48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Орендодавця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36752D14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«___» _______________ 20 ___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надіслано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Орендарю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Реквізити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поштового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відправлення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__________________________________________________ _______________________ _____________________________________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(ПІБ, посада)</w:t>
      </w:r>
    </w:p>
    <w:p w14:paraId="484F1B67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B0EAB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CE7E33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CC60B0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A62B04" w14:textId="77777777" w:rsidR="00496327" w:rsidRDefault="00496327" w:rsidP="00496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CCDB39" w14:textId="77777777" w:rsidR="00496327" w:rsidRDefault="00496327" w:rsidP="00496327">
      <w:pPr>
        <w:rPr>
          <w:rFonts w:ascii="Calibri" w:eastAsia="Calibri" w:hAnsi="Calibri" w:cs="Calibri"/>
        </w:rPr>
      </w:pPr>
    </w:p>
    <w:p w14:paraId="6102D7F9" w14:textId="77777777" w:rsidR="00496327" w:rsidRDefault="00496327" w:rsidP="00496327">
      <w:pPr>
        <w:rPr>
          <w:rFonts w:ascii="Calibri" w:eastAsia="Calibri" w:hAnsi="Calibri" w:cs="Calibri"/>
          <w:lang w:val="uk-UA"/>
        </w:rPr>
      </w:pPr>
    </w:p>
    <w:p w14:paraId="7ED3FA96" w14:textId="77777777" w:rsidR="00496327" w:rsidRDefault="00496327" w:rsidP="00496327">
      <w:pPr>
        <w:rPr>
          <w:rFonts w:ascii="Calibri" w:eastAsia="Calibri" w:hAnsi="Calibri" w:cs="Calibri"/>
          <w:lang w:val="uk-UA"/>
        </w:rPr>
      </w:pPr>
    </w:p>
    <w:p w14:paraId="569AE9A7" w14:textId="77777777" w:rsidR="00496327" w:rsidRDefault="00496327" w:rsidP="00496327">
      <w:pPr>
        <w:rPr>
          <w:rFonts w:ascii="Calibri" w:eastAsia="Calibri" w:hAnsi="Calibri" w:cs="Calibri"/>
          <w:lang w:val="uk-UA"/>
        </w:rPr>
      </w:pPr>
    </w:p>
    <w:p w14:paraId="4C89353C" w14:textId="77777777" w:rsidR="00496327" w:rsidRDefault="00496327" w:rsidP="00496327">
      <w:pPr>
        <w:rPr>
          <w:rFonts w:ascii="Calibri" w:eastAsia="Calibri" w:hAnsi="Calibri" w:cs="Calibri"/>
          <w:lang w:val="uk-UA"/>
        </w:rPr>
      </w:pPr>
    </w:p>
    <w:p w14:paraId="1DA664BA" w14:textId="77777777" w:rsidR="00496327" w:rsidRDefault="00496327" w:rsidP="00496327">
      <w:pPr>
        <w:rPr>
          <w:rFonts w:ascii="Calibri" w:eastAsia="Calibri" w:hAnsi="Calibri" w:cs="Calibri"/>
          <w:lang w:val="uk-UA"/>
        </w:rPr>
      </w:pPr>
    </w:p>
    <w:p w14:paraId="3CDC8917" w14:textId="77777777" w:rsidR="00496327" w:rsidRDefault="00496327" w:rsidP="00496327">
      <w:pPr>
        <w:rPr>
          <w:rFonts w:ascii="Calibri" w:eastAsia="Calibri" w:hAnsi="Calibri" w:cs="Calibri"/>
          <w:lang w:val="uk-UA"/>
        </w:rPr>
      </w:pPr>
    </w:p>
    <w:p w14:paraId="297280EB" w14:textId="77777777" w:rsidR="00496327" w:rsidRDefault="00496327" w:rsidP="00496327">
      <w:pPr>
        <w:rPr>
          <w:rFonts w:ascii="Calibri" w:eastAsia="Calibri" w:hAnsi="Calibri" w:cs="Calibri"/>
          <w:lang w:val="uk-UA"/>
        </w:rPr>
      </w:pPr>
    </w:p>
    <w:p w14:paraId="313E18E0" w14:textId="77777777" w:rsidR="00496327" w:rsidRDefault="00496327" w:rsidP="00496327">
      <w:pPr>
        <w:rPr>
          <w:rFonts w:ascii="Calibri" w:eastAsia="Calibri" w:hAnsi="Calibri" w:cs="Calibri"/>
          <w:lang w:val="uk-UA"/>
        </w:rPr>
      </w:pPr>
    </w:p>
    <w:p w14:paraId="4915FD99" w14:textId="77777777" w:rsidR="00496327" w:rsidRDefault="00496327" w:rsidP="00496327">
      <w:pPr>
        <w:rPr>
          <w:rFonts w:ascii="Calibri" w:eastAsia="Calibri" w:hAnsi="Calibri" w:cs="Calibri"/>
          <w:lang w:val="uk-UA"/>
        </w:rPr>
      </w:pPr>
    </w:p>
    <w:sectPr w:rsidR="004963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E4CF2"/>
    <w:multiLevelType w:val="hybridMultilevel"/>
    <w:tmpl w:val="B25890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E4347"/>
    <w:multiLevelType w:val="multilevel"/>
    <w:tmpl w:val="6F2093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152675982">
    <w:abstractNumId w:val="1"/>
  </w:num>
  <w:num w:numId="2" w16cid:durableId="17218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B8"/>
    <w:rsid w:val="00174D3E"/>
    <w:rsid w:val="001B40C1"/>
    <w:rsid w:val="00261569"/>
    <w:rsid w:val="003662AC"/>
    <w:rsid w:val="00442DBF"/>
    <w:rsid w:val="004775B8"/>
    <w:rsid w:val="00496327"/>
    <w:rsid w:val="00754BCE"/>
    <w:rsid w:val="007E00F6"/>
    <w:rsid w:val="00C60C40"/>
    <w:rsid w:val="00CC6993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1827"/>
  <w15:chartTrackingRefBased/>
  <w15:docId w15:val="{44569DE6-484A-42D1-9371-0B7BDBE8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B8"/>
    <w:rPr>
      <w:rFonts w:ascii="Aptos" w:eastAsia="Aptos" w:hAnsi="Aptos" w:cs="Aptos"/>
      <w:kern w:val="0"/>
      <w:lang w:val="ru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7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5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5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5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5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5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5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75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75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75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75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75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75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75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7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7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5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77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5B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7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5B8"/>
    <w:pPr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7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7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52935</Words>
  <Characters>30174</Characters>
  <Application>Microsoft Office Word</Application>
  <DocSecurity>0</DocSecurity>
  <Lines>251</Lines>
  <Paragraphs>165</Paragraphs>
  <ScaleCrop>false</ScaleCrop>
  <Company/>
  <LinksUpToDate>false</LinksUpToDate>
  <CharactersWithSpaces>82944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Великодимерська селищна рада</dc:creator>
  <cp:keywords/>
  <dc:description/>
  <cp:lastModifiedBy>Великодимерська селищна рада</cp:lastModifiedBy>
  <cp:revision>6</cp:revision>
  <dcterms:created xsi:type="dcterms:W3CDTF">2025-09-22T09:11:00Z</dcterms:created>
  <dcterms:modified xsi:type="dcterms:W3CDTF">2025-09-22T10:04:00Z</dcterms:modified>
</cp:coreProperties>
</file>