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3070" w14:textId="17683CE0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>Додаток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 </w:t>
      </w:r>
      <w:r w:rsid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</w:t>
      </w:r>
    </w:p>
    <w:p w14:paraId="194C1CA2" w14:textId="77777777" w:rsidR="006225AD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 </w:t>
      </w:r>
      <w:proofErr w:type="spellStart"/>
      <w:r w:rsid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>Великодимерської</w:t>
      </w:r>
      <w:proofErr w:type="spellEnd"/>
      <w:r w:rsidR="006225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 </w:t>
      </w:r>
    </w:p>
    <w:p w14:paraId="12E464D5" w14:textId="006BCD47" w:rsidR="00D605B4" w:rsidRPr="00D605B4" w:rsidRDefault="006225AD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 ради </w:t>
      </w:r>
      <w:proofErr w:type="spellStart"/>
      <w:r w:rsidR="00D605B4" w:rsidRP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>від</w:t>
      </w:r>
      <w:proofErr w:type="spellEnd"/>
      <w:r w:rsidR="00D605B4" w:rsidRP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         </w:t>
      </w:r>
      <w:r w:rsid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 </w:t>
      </w:r>
      <w:r w:rsidR="00D605B4" w:rsidRPr="00D60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" w:eastAsia="uk-UA"/>
          <w14:ligatures w14:val="none"/>
        </w:rPr>
        <w:t xml:space="preserve"> №</w:t>
      </w:r>
    </w:p>
    <w:p w14:paraId="5EFCEDE8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val="ru" w:eastAsia="uk-UA"/>
          <w14:ligatures w14:val="none"/>
        </w:rPr>
      </w:pPr>
    </w:p>
    <w:p w14:paraId="283FD5C5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Методика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розрахунку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комунальне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майно</w:t>
      </w:r>
      <w:proofErr w:type="spellEnd"/>
    </w:p>
    <w:p w14:paraId="33F89D0A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63AD647E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1. Методику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розроблено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метою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створення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єдиного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організаційно-економічного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механізму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справляння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об’єкти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частиною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першою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3 Закону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«Про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державного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майна» (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далі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– Закон). </w:t>
      </w:r>
    </w:p>
    <w:p w14:paraId="0DF52A24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2. До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іншого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окремого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індивідуально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не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включаються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витрати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та плата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послуги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укладених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угод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зобов'язуються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надавати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підприємство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організація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господарське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товариство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балансі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перебуває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Витрати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зданого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одночасно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кільком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орендарям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і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прибудинкової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території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розподіляються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між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ними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залежно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наявності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кількості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потужності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часу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роботи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електроприладів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систем тепло- і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водопостачання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каналізації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спеціальними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рахунками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а 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неподільній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частині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пропорційно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займаної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підприємствами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організаціями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загальної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площі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115E5DEE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3.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(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фізичними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юридичними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особами,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зазначеними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8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цієї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Методики)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формулою: </w:t>
      </w:r>
    </w:p>
    <w:p w14:paraId="6C462570" w14:textId="5095A8C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пл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=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Вп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 xml:space="preserve"> х Сор,</w:t>
      </w:r>
    </w:p>
    <w:p w14:paraId="5A171972" w14:textId="7111A3E4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         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100</w:t>
      </w:r>
    </w:p>
    <w:p w14:paraId="433809A6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де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Вп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незалежної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(без ПДВ), грн.; Сор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ставка,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додатком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 (в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договору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15 Закону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«Про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державного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майна»).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формулою :</w:t>
      </w:r>
    </w:p>
    <w:p w14:paraId="57D6F9F9" w14:textId="6D1E65EE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О пл.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=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 xml:space="preserve">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пл</w:t>
      </w:r>
      <w:proofErr w:type="spellEnd"/>
    </w:p>
    <w:p w14:paraId="6D40A909" w14:textId="123CD739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                   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12</w:t>
      </w:r>
    </w:p>
    <w:p w14:paraId="64A1A778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де 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пл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цією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Методикою, грн.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між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датою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і датою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минуло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більше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один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повний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календарний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то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перший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встановлюється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коригування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індекс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інфляції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місяцях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минули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коли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термін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менший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більший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одну добу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один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то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основі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розраховується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добова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розрахунку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кількості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фактичного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, за формулою:</w:t>
      </w:r>
    </w:p>
    <w:p w14:paraId="28A28155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7D487271" w14:textId="052FBEFB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О пл. доб. =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 xml:space="preserve">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пл</w:t>
      </w:r>
      <w:proofErr w:type="spellEnd"/>
    </w:p>
    <w:p w14:paraId="5F5B4DB6" w14:textId="63C5AA08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                    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12 * Х</w:t>
      </w:r>
    </w:p>
    <w:p w14:paraId="24B36E04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4566FEFC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4CC13847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Х –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кількість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фактичного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.</w:t>
      </w:r>
    </w:p>
    <w:p w14:paraId="2B98CA9E" w14:textId="1B50DA2C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lastRenderedPageBreak/>
        <w:t xml:space="preserve">Для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розрахунку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погодинної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основі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добової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розраховується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погодинна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розрахунку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24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години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добі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.</w:t>
      </w:r>
    </w:p>
    <w:p w14:paraId="1FA1EC89" w14:textId="7030F880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О пл. год. =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_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_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Опл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 xml:space="preserve">_____  </w:t>
      </w:r>
    </w:p>
    <w:p w14:paraId="21FC1525" w14:textId="664EB06B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                   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12 * Х * 24</w:t>
      </w:r>
    </w:p>
    <w:p w14:paraId="5EC3E9F5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Х –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кількість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фактичного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погодинна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припадає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вихідний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святковий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день,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такі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нараховується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повну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добу.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єдині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комплекси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їхні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відокремлені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структурні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підрозділи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формулою:</w:t>
      </w:r>
    </w:p>
    <w:p w14:paraId="1CF33AB7" w14:textId="73D2E98F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Опл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=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 xml:space="preserve"> (Воз +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Внм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 xml:space="preserve">) х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Сор.ц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,</w:t>
      </w:r>
    </w:p>
    <w:p w14:paraId="3A2048BC" w14:textId="7D571A5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100</w:t>
      </w:r>
    </w:p>
    <w:p w14:paraId="03932E5D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де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Опл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плати, грн; Воз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основних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засобів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незалежною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оцінкою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час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об'єкта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(без ПДВ) грн;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Внм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нематеріальних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активів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незалежною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оцінкою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час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об'єкта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(без ПДВ) грн;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Сор.ц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ставка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використання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об'єкта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єдині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комплекси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їхні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відокремлені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структурні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підрозділи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формулою:</w:t>
      </w:r>
    </w:p>
    <w:p w14:paraId="40666600" w14:textId="119A8481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О пл.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=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 xml:space="preserve">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" w:eastAsia="uk-UA"/>
          <w14:ligatures w14:val="none"/>
        </w:rPr>
        <w:t>пл</w:t>
      </w:r>
      <w:proofErr w:type="spellEnd"/>
    </w:p>
    <w:p w14:paraId="3363DB07" w14:textId="27A42888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                   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12</w:t>
      </w:r>
    </w:p>
    <w:p w14:paraId="18D66AE5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де 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пл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цією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Методикою, грн. </w:t>
      </w:r>
    </w:p>
    <w:p w14:paraId="74CF9460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4.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Незалежна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об'єкта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повинна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враховувати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місцезнаходження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забезпеченість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інженерними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мережами. </w:t>
      </w:r>
    </w:p>
    <w:p w14:paraId="0BCF56A9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5A7C2820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5.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Результати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незалежної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чинними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12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інший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термін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передбачено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звіті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незалежної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оцінки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2013C636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681C3A33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6.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надходження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кількох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заяв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одного і того ж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абзацами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четвертим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дев’ятим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другої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15 Закону,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тих,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державними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підприємствами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установами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організаціями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укладається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особою, яка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запропонувала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найвищий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Потенційні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орендарі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подають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свої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закриті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цінові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пропозиції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Порядку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передачі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державного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затвердженого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постановою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Кабінету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Міністрів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03.06. 2020 року № 483. </w:t>
      </w:r>
    </w:p>
    <w:p w14:paraId="0C1B2C62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1DF1A9EB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7.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1 гривня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встановлюється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таким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орендарям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: - органам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державної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влади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іншим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бюджетним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організаціям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закладам,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установам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повністю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фінансуються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державного бюджету; -органам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місцевого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самоврядування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розміщення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центрів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адміністративних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; -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казенним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підприємствам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утворилися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результаті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реорганізації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державного закладу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охорони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здоров’я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;</w:t>
      </w:r>
    </w:p>
    <w:p w14:paraId="5B106BB8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Національному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банку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майна, яке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було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закріплене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праві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господарського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Національним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банком і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передане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сфери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управління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інших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державних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власність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цільовим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функціональним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призначенням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зберігання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запасів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готівки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Національного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банку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технологічних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процесів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забезпечення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готівкового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обігу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; -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Пенсійному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фонду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органам; -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національним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художнім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колективам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надається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фінансова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підтримка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державного бюджету; -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редакціям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державних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lastRenderedPageBreak/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періодичних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видань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повністю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частково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фінансуються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державного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місцевих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бюджетів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заснованих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об’єднаннями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громадян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державними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науково-дослідними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установами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трудовими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журналістськими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колективами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а також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реформованим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друкованим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засобам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масової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інформації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редакціям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 Закону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“Про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реформування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державних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друкованих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засобів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масової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інформації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”.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встановленому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абзацом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15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пункту, не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для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розміщення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засобів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масової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інформації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: - рекламного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еротичного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характеру;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заснованих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Україні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міжнародними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організаціями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участю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юридичних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фізичних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інших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держав,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громадянства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;</w:t>
      </w:r>
    </w:p>
    <w:p w14:paraId="20015966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- 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понад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50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відсотків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загального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обсягу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випуску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становлять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матеріали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зарубіжних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засобів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масової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інформації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;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заснованих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участю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юридичних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фізичних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сфери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діяльності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належить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виробництво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постачання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паперу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поліграфічного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обладнання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технічних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засобів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мовлення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6AA8A6E0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6ECF5294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8.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іншого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окремого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індивідуально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(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транспортних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засобів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якими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 Порядком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передачі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державного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затвердженого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постановою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Кабінету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Міністрів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03.06.2020 року №483),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встановлюється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рівні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12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відсотків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вартості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урахуванням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8 Закону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«Про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державного 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майна».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інше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окреме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індивідуально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передається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результатами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розрахована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пункту Методики,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як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стартова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першому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аукціоні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7A985B78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229FDE45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9.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цієї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Методики (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пункту 7 Методики)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абзацу четвертого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сьомої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18 Закону (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), і при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цьому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між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датою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і датою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акту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приймання-передавання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минуло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більше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один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повний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календарний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то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перший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встановлюється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коригування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індекс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інфляції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місяцях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минули 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2CD11013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6A1EC31F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10.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 пункту 7 Методики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наслідками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січень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-грудень року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наступного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за роком,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припадає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перший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коригування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перший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річний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індекс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інфляції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року,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припадає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перший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січень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-грудень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третього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і кожного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наступного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календарного року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коригування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місячної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сплачувалась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попередньому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році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середньорічний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індекс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інфляції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такого року. </w:t>
      </w:r>
    </w:p>
    <w:p w14:paraId="38285F48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39307619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11.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Терміни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внесення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визначаються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договорі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.</w:t>
      </w:r>
    </w:p>
    <w:p w14:paraId="39D12D54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132F5DE6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lastRenderedPageBreak/>
        <w:t xml:space="preserve">12.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коли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орендодавцем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є Великодимерська селищна рада,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спрямовується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: -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єдині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комплекси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підприємств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— 100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відсотків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місцевого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бюджету; -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підприємств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установ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організацій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— 50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відсотків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місцевого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бюджету, 50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відсотків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майна.</w:t>
      </w:r>
    </w:p>
    <w:p w14:paraId="210E727E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1B31F89B" w14:textId="77777777" w:rsid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13.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коли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Орендодавцем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 є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комунальне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підприємство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установа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організація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яка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користується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праві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господарського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оперативного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управління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спрямовується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: -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окреме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індивідуально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визначене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) — 100%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; -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— 70%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, 30% -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місцевого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бюджету. </w:t>
      </w:r>
    </w:p>
    <w:p w14:paraId="5206CDBB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671B00B0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14. Великодимерська селищна рада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прийняти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спрямування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100%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нерухомогомайна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11F64A7D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30945C20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Тимчасово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здійснюючий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повноваження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469F12BD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селищного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голови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секретар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ради                                Олександр БОРСУК</w:t>
      </w:r>
    </w:p>
    <w:p w14:paraId="5F9EB1B4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66142672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2E13DE5F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4B46BF1F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741EF594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62C02F7E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01EAD104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28612A92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32AAEBA6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621F0A28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5BD58BFA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2A67E1CB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6E4DF8C4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404D771B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76DF230B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69504DD6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48C6F9DC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146C5513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1B087FD0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301C1419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403BCC23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51133860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696696A9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1FAEBECB" w14:textId="77777777" w:rsidR="00D605B4" w:rsidRPr="00D605B4" w:rsidRDefault="00D605B4" w:rsidP="00D60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" w:eastAsia="uk-UA"/>
          <w14:ligatures w14:val="none"/>
        </w:rPr>
      </w:pPr>
    </w:p>
    <w:p w14:paraId="0DDA2CB8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val="ru" w:eastAsia="uk-UA"/>
          <w14:ligatures w14:val="none"/>
        </w:rPr>
      </w:pPr>
    </w:p>
    <w:p w14:paraId="05F24073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val="ru" w:eastAsia="uk-UA"/>
          <w14:ligatures w14:val="none"/>
        </w:rPr>
      </w:pPr>
    </w:p>
    <w:p w14:paraId="2C4ED1FE" w14:textId="6A0F6BA7" w:rsidR="00D605B4" w:rsidRPr="00D605B4" w:rsidRDefault="00D605B4" w:rsidP="00D605B4">
      <w:pPr>
        <w:keepNext/>
        <w:keepLines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lastRenderedPageBreak/>
        <w:t>Додаток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t xml:space="preserve"> 1 </w:t>
      </w:r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br/>
        <w:t xml:space="preserve">до Методики </w:t>
      </w:r>
    </w:p>
    <w:p w14:paraId="66DAC221" w14:textId="77777777" w:rsidR="00D605B4" w:rsidRPr="00D605B4" w:rsidRDefault="00D605B4" w:rsidP="00D605B4">
      <w:pPr>
        <w:keepNext/>
        <w:keepLines/>
        <w:spacing w:after="24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 xml:space="preserve">ставки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майна</w:t>
      </w: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464"/>
      </w:tblGrid>
      <w:tr w:rsidR="00D605B4" w:rsidRPr="00D605B4" w14:paraId="5DF15E77" w14:textId="77777777" w:rsidTr="00D605B4">
        <w:trPr>
          <w:jc w:val="center"/>
        </w:trPr>
        <w:tc>
          <w:tcPr>
            <w:tcW w:w="8359" w:type="dxa"/>
          </w:tcPr>
          <w:p w14:paraId="7156696A" w14:textId="77777777" w:rsidR="00D605B4" w:rsidRPr="00D605B4" w:rsidRDefault="00D605B4" w:rsidP="00D605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Орендарі</w:t>
            </w:r>
            <w:proofErr w:type="spellEnd"/>
          </w:p>
        </w:tc>
        <w:tc>
          <w:tcPr>
            <w:tcW w:w="1464" w:type="dxa"/>
          </w:tcPr>
          <w:p w14:paraId="1B170A43" w14:textId="77777777" w:rsidR="00D605B4" w:rsidRPr="00D605B4" w:rsidRDefault="00D605B4" w:rsidP="00D605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ставка,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відсотків</w:t>
            </w:r>
            <w:proofErr w:type="spellEnd"/>
          </w:p>
        </w:tc>
      </w:tr>
      <w:tr w:rsidR="00D605B4" w:rsidRPr="00D605B4" w14:paraId="48A4BF08" w14:textId="77777777" w:rsidTr="00D605B4">
        <w:trPr>
          <w:jc w:val="center"/>
        </w:trPr>
        <w:tc>
          <w:tcPr>
            <w:tcW w:w="8359" w:type="dxa"/>
          </w:tcPr>
          <w:p w14:paraId="0FC1E8EE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1.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науково-практичних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мистецьких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суспільних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політичних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строк,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  30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календарних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протягом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одного року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щодо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кожного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балансоутримувачем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провадить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конгресів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торговельних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виставок</w:t>
            </w:r>
            <w:proofErr w:type="spellEnd"/>
          </w:p>
        </w:tc>
        <w:tc>
          <w:tcPr>
            <w:tcW w:w="1464" w:type="dxa"/>
          </w:tcPr>
          <w:p w14:paraId="1D11A2F1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10</w:t>
            </w:r>
          </w:p>
        </w:tc>
      </w:tr>
      <w:tr w:rsidR="00D605B4" w:rsidRPr="00D605B4" w14:paraId="225EB0E1" w14:textId="77777777" w:rsidTr="00D605B4">
        <w:trPr>
          <w:trHeight w:val="1885"/>
          <w:jc w:val="center"/>
        </w:trPr>
        <w:tc>
          <w:tcPr>
            <w:tcW w:w="8359" w:type="dxa"/>
          </w:tcPr>
          <w:p w14:paraId="73417AAF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Приватні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освітніх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відповідній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пунктах 11 та 18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цього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додатка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1464" w:type="dxa"/>
          </w:tcPr>
          <w:p w14:paraId="320C712E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10</w:t>
            </w:r>
          </w:p>
        </w:tc>
      </w:tr>
      <w:tr w:rsidR="00D605B4" w:rsidRPr="00D605B4" w14:paraId="5C24D52B" w14:textId="77777777" w:rsidTr="00D605B4">
        <w:trPr>
          <w:trHeight w:val="2070"/>
          <w:jc w:val="center"/>
        </w:trPr>
        <w:tc>
          <w:tcPr>
            <w:tcW w:w="8359" w:type="dxa"/>
          </w:tcPr>
          <w:p w14:paraId="25B45FF0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3.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науково-практичних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мистецьких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суспільних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політичних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строк,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п’яти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календарних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протягом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шести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місяців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а також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щодо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майна, яке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передається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суб’єктам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виборчого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процесу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метою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публічних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зборів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дебатів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дискусій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час та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період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виборчої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кампанії</w:t>
            </w:r>
            <w:proofErr w:type="spellEnd"/>
          </w:p>
        </w:tc>
        <w:tc>
          <w:tcPr>
            <w:tcW w:w="1464" w:type="dxa"/>
          </w:tcPr>
          <w:p w14:paraId="13D13682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8</w:t>
            </w:r>
          </w:p>
        </w:tc>
      </w:tr>
      <w:tr w:rsidR="00D605B4" w:rsidRPr="00D605B4" w14:paraId="7FDD4206" w14:textId="77777777" w:rsidTr="00D605B4">
        <w:trPr>
          <w:jc w:val="center"/>
        </w:trPr>
        <w:tc>
          <w:tcPr>
            <w:tcW w:w="8359" w:type="dxa"/>
          </w:tcPr>
          <w:p w14:paraId="0C12B874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4.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установи,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/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мистецтв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(у тому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числі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національні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творчі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спілки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їх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члени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творчі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64" w:type="dxa"/>
          </w:tcPr>
          <w:p w14:paraId="453AE7D9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</w:t>
            </w:r>
          </w:p>
        </w:tc>
      </w:tr>
      <w:tr w:rsidR="00D605B4" w:rsidRPr="00D605B4" w14:paraId="2F6A1747" w14:textId="77777777" w:rsidTr="00D605B4">
        <w:trPr>
          <w:jc w:val="center"/>
        </w:trPr>
        <w:tc>
          <w:tcPr>
            <w:tcW w:w="8359" w:type="dxa"/>
          </w:tcPr>
          <w:p w14:paraId="663AEA58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5. Установи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бюджетів</w:t>
            </w:r>
            <w:proofErr w:type="spellEnd"/>
          </w:p>
        </w:tc>
        <w:tc>
          <w:tcPr>
            <w:tcW w:w="1464" w:type="dxa"/>
          </w:tcPr>
          <w:p w14:paraId="7D3D3012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</w:t>
            </w:r>
          </w:p>
        </w:tc>
      </w:tr>
      <w:tr w:rsidR="00D605B4" w:rsidRPr="00D605B4" w14:paraId="1CEF3E12" w14:textId="77777777" w:rsidTr="00D605B4">
        <w:trPr>
          <w:jc w:val="center"/>
        </w:trPr>
        <w:tc>
          <w:tcPr>
            <w:tcW w:w="8359" w:type="dxa"/>
          </w:tcPr>
          <w:p w14:paraId="140BD8A3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6.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видавництва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книгорозповсюдження</w:t>
            </w:r>
            <w:proofErr w:type="spellEnd"/>
          </w:p>
        </w:tc>
        <w:tc>
          <w:tcPr>
            <w:tcW w:w="1464" w:type="dxa"/>
          </w:tcPr>
          <w:p w14:paraId="25829086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</w:t>
            </w:r>
          </w:p>
        </w:tc>
      </w:tr>
      <w:tr w:rsidR="00D605B4" w:rsidRPr="00D605B4" w14:paraId="7F867AFA" w14:textId="77777777" w:rsidTr="00D605B4">
        <w:trPr>
          <w:jc w:val="center"/>
        </w:trPr>
        <w:tc>
          <w:tcPr>
            <w:tcW w:w="8359" w:type="dxa"/>
          </w:tcPr>
          <w:p w14:paraId="212D06C4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7.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Вітчизняні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видавництва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книгорозповсюдження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забезпечують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підготовку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випуск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розповсюдження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менш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50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відсотків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книжкової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продукції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державною мовою (за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винятком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рекламного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еротичного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характеру)</w:t>
            </w:r>
          </w:p>
        </w:tc>
        <w:tc>
          <w:tcPr>
            <w:tcW w:w="1464" w:type="dxa"/>
          </w:tcPr>
          <w:p w14:paraId="576958F4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</w:t>
            </w:r>
          </w:p>
        </w:tc>
      </w:tr>
      <w:tr w:rsidR="00D605B4" w:rsidRPr="00D605B4" w14:paraId="769B922D" w14:textId="77777777" w:rsidTr="00D605B4">
        <w:trPr>
          <w:jc w:val="center"/>
        </w:trPr>
        <w:tc>
          <w:tcPr>
            <w:tcW w:w="8359" w:type="dxa"/>
          </w:tcPr>
          <w:p w14:paraId="6528D010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8.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Дипломатичні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представництва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консульські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установи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іноземних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представництва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міжнародних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договорів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плата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врегульована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міжнародними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договорами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згода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обов’язковість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Верховною Радою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64" w:type="dxa"/>
          </w:tcPr>
          <w:p w14:paraId="69C2F0C5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3C02C001" w14:textId="77777777" w:rsidTr="00D605B4">
        <w:trPr>
          <w:jc w:val="center"/>
        </w:trPr>
        <w:tc>
          <w:tcPr>
            <w:tcW w:w="8359" w:type="dxa"/>
          </w:tcPr>
          <w:p w14:paraId="4943B5AB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 xml:space="preserve">9.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частково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державного бюджету,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бюджету,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відповідній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пункті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18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цього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додатка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64" w:type="dxa"/>
          </w:tcPr>
          <w:p w14:paraId="459D3B8F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5731267C" w14:textId="77777777" w:rsidTr="00D605B4">
        <w:trPr>
          <w:jc w:val="center"/>
        </w:trPr>
        <w:tc>
          <w:tcPr>
            <w:tcW w:w="8359" w:type="dxa"/>
          </w:tcPr>
          <w:p w14:paraId="508CC526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10.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засновані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об’єднаннями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отримують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держав 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членів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ЄС</w:t>
            </w:r>
          </w:p>
        </w:tc>
        <w:tc>
          <w:tcPr>
            <w:tcW w:w="1464" w:type="dxa"/>
          </w:tcPr>
          <w:p w14:paraId="43741407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4E8554F8" w14:textId="77777777" w:rsidTr="00D605B4">
        <w:trPr>
          <w:jc w:val="center"/>
        </w:trPr>
        <w:tc>
          <w:tcPr>
            <w:tcW w:w="8359" w:type="dxa"/>
          </w:tcPr>
          <w:p w14:paraId="139E4A00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11.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Приватні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загальної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середньої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відповідній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1464" w:type="dxa"/>
          </w:tcPr>
          <w:p w14:paraId="3A89AB81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3EC2C3EF" w14:textId="77777777" w:rsidTr="00D605B4">
        <w:trPr>
          <w:jc w:val="center"/>
        </w:trPr>
        <w:tc>
          <w:tcPr>
            <w:tcW w:w="8359" w:type="dxa"/>
          </w:tcPr>
          <w:p w14:paraId="6C199784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12. Установи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частково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рахунок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державного бюджету,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самоврядування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їх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добровільні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об’єднання</w:t>
            </w:r>
            <w:proofErr w:type="spellEnd"/>
          </w:p>
        </w:tc>
        <w:tc>
          <w:tcPr>
            <w:tcW w:w="1464" w:type="dxa"/>
          </w:tcPr>
          <w:p w14:paraId="2CD69299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1DF34E37" w14:textId="77777777" w:rsidTr="00D605B4">
        <w:trPr>
          <w:jc w:val="center"/>
        </w:trPr>
        <w:tc>
          <w:tcPr>
            <w:tcW w:w="8359" w:type="dxa"/>
          </w:tcPr>
          <w:p w14:paraId="50E3852F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13.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утримуються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рахунок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бюджетів</w:t>
            </w:r>
            <w:proofErr w:type="spellEnd"/>
          </w:p>
        </w:tc>
        <w:tc>
          <w:tcPr>
            <w:tcW w:w="1464" w:type="dxa"/>
          </w:tcPr>
          <w:p w14:paraId="4379425A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69861FFD" w14:textId="77777777" w:rsidTr="00D605B4">
        <w:trPr>
          <w:jc w:val="center"/>
        </w:trPr>
        <w:tc>
          <w:tcPr>
            <w:tcW w:w="8359" w:type="dxa"/>
          </w:tcPr>
          <w:p w14:paraId="1A0C4D74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14.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Музеї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тих,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повністю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рахунок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державного бюджету</w:t>
            </w:r>
          </w:p>
        </w:tc>
        <w:tc>
          <w:tcPr>
            <w:tcW w:w="1464" w:type="dxa"/>
          </w:tcPr>
          <w:p w14:paraId="65041AD4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65AEF0D6" w14:textId="77777777" w:rsidTr="00D605B4">
        <w:trPr>
          <w:jc w:val="center"/>
        </w:trPr>
        <w:tc>
          <w:tcPr>
            <w:tcW w:w="8359" w:type="dxa"/>
          </w:tcPr>
          <w:p w14:paraId="5986191B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15.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об’єднання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фізкультурно-спортивної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спрямованості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внесеними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Реєстру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утворені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ними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клуби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клубів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займаються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професійним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спортом),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дитячо-юнацькі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школи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школи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вищої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центри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підготовки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центри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студентського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спорту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вищої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центри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спорту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внесеними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Реєстру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виключно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фізкультурно-спортивних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1464" w:type="dxa"/>
          </w:tcPr>
          <w:p w14:paraId="087E05BE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4BC33CD5" w14:textId="77777777" w:rsidTr="00D605B4">
        <w:trPr>
          <w:jc w:val="center"/>
        </w:trPr>
        <w:tc>
          <w:tcPr>
            <w:tcW w:w="8359" w:type="dxa"/>
          </w:tcPr>
          <w:p w14:paraId="035A1F08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16.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клуби,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дитячо-юнацькі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школи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школи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вищої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центри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підготовки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центри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студентського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спорту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вищої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фізкультурно-оздоровчі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центри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населення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центри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спорту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а також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бази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паралімпійської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дефлімпійської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підготовки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 </w:t>
            </w:r>
            <w:proofErr w:type="spellStart"/>
            <w:r w:rsidRPr="00D605B4">
              <w:rPr>
                <w:rFonts w:ascii="Times New Roman" w:eastAsia="Aptos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fldChar w:fldCharType="begin"/>
            </w:r>
            <w:r w:rsidRPr="00D605B4">
              <w:rPr>
                <w:rFonts w:ascii="Times New Roman" w:eastAsia="Aptos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instrText>HYPERLINK "https://zakon.rada.gov.ua/laws/show/630-2021-%D0%BF" \l "n49" \h</w:instrText>
            </w:r>
            <w:r w:rsidRPr="00D605B4">
              <w:rPr>
                <w:rFonts w:ascii="Times New Roman" w:eastAsia="Aptos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r>
            <w:r w:rsidRPr="00D605B4">
              <w:rPr>
                <w:rFonts w:ascii="Times New Roman" w:eastAsia="Aptos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fldChar w:fldCharType="separate"/>
            </w:r>
            <w:r w:rsidRPr="00D605B4">
              <w:rPr>
                <w:rFonts w:ascii="Times New Roman" w:eastAsia="Times New Roman" w:hAnsi="Times New Roman" w:cs="Times New Roman"/>
                <w:color w:val="006600"/>
                <w:kern w:val="0"/>
                <w:sz w:val="28"/>
                <w:szCs w:val="28"/>
                <w:u w:val="single"/>
                <w:lang w:val="ru" w:eastAsia="uk-UA"/>
                <w14:ligatures w14:val="none"/>
              </w:rPr>
              <w:t>пункті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6600"/>
                <w:kern w:val="0"/>
                <w:sz w:val="28"/>
                <w:szCs w:val="28"/>
                <w:u w:val="single"/>
                <w:lang w:val="ru" w:eastAsia="uk-UA"/>
                <w14:ligatures w14:val="none"/>
              </w:rPr>
              <w:t xml:space="preserve"> 13</w:t>
            </w:r>
            <w:r w:rsidRPr="00D605B4">
              <w:rPr>
                <w:rFonts w:ascii="Times New Roman" w:eastAsia="Aptos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fldChar w:fldCharType="end"/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цієї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Методики)</w:t>
            </w:r>
          </w:p>
        </w:tc>
        <w:tc>
          <w:tcPr>
            <w:tcW w:w="1464" w:type="dxa"/>
          </w:tcPr>
          <w:p w14:paraId="33652EDA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3AAEEFA5" w14:textId="77777777" w:rsidTr="00D605B4">
        <w:trPr>
          <w:jc w:val="center"/>
        </w:trPr>
        <w:tc>
          <w:tcPr>
            <w:tcW w:w="8359" w:type="dxa"/>
          </w:tcPr>
          <w:p w14:paraId="1C0196D7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17.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утримуються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рахунок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бюджетів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некомерційні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>підприємства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утворилися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результаті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</w:p>
        </w:tc>
        <w:tc>
          <w:tcPr>
            <w:tcW w:w="1464" w:type="dxa"/>
          </w:tcPr>
          <w:p w14:paraId="04047952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>3</w:t>
            </w:r>
          </w:p>
        </w:tc>
      </w:tr>
      <w:tr w:rsidR="00D605B4" w:rsidRPr="00D605B4" w14:paraId="137A1FD6" w14:textId="77777777" w:rsidTr="00D605B4">
        <w:trPr>
          <w:jc w:val="center"/>
        </w:trPr>
        <w:tc>
          <w:tcPr>
            <w:tcW w:w="8359" w:type="dxa"/>
          </w:tcPr>
          <w:p w14:paraId="642C50E6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18.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засновані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будь-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формі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власності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освітніх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дошкільної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1464" w:type="dxa"/>
          </w:tcPr>
          <w:p w14:paraId="13287E18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</w:t>
            </w:r>
          </w:p>
        </w:tc>
      </w:tr>
      <w:tr w:rsidR="00D605B4" w:rsidRPr="00D605B4" w14:paraId="453DAB7B" w14:textId="77777777" w:rsidTr="00D605B4">
        <w:trPr>
          <w:jc w:val="center"/>
        </w:trPr>
        <w:tc>
          <w:tcPr>
            <w:tcW w:w="8359" w:type="dxa"/>
          </w:tcPr>
          <w:p w14:paraId="4F24024C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19.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спеціалізовані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установи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обслуговування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відповідно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 </w:t>
            </w:r>
            <w:hyperlink r:id="rId5">
              <w:r w:rsidRPr="00D605B4">
                <w:rPr>
                  <w:rFonts w:ascii="Times New Roman" w:eastAsia="Times New Roman" w:hAnsi="Times New Roman" w:cs="Times New Roman"/>
                  <w:color w:val="000099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 xml:space="preserve">Закону </w:t>
              </w:r>
              <w:proofErr w:type="spellStart"/>
              <w:r w:rsidRPr="00D605B4">
                <w:rPr>
                  <w:rFonts w:ascii="Times New Roman" w:eastAsia="Times New Roman" w:hAnsi="Times New Roman" w:cs="Times New Roman"/>
                  <w:color w:val="000099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>України</w:t>
              </w:r>
              <w:proofErr w:type="spellEnd"/>
            </w:hyperlink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 “Про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”</w:t>
            </w:r>
          </w:p>
        </w:tc>
        <w:tc>
          <w:tcPr>
            <w:tcW w:w="1464" w:type="dxa"/>
          </w:tcPr>
          <w:p w14:paraId="3379083C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</w:t>
            </w:r>
          </w:p>
        </w:tc>
      </w:tr>
      <w:tr w:rsidR="00D605B4" w:rsidRPr="00D605B4" w14:paraId="0E420B3E" w14:textId="77777777" w:rsidTr="00D605B4">
        <w:trPr>
          <w:jc w:val="center"/>
        </w:trPr>
        <w:tc>
          <w:tcPr>
            <w:tcW w:w="8359" w:type="dxa"/>
          </w:tcPr>
          <w:p w14:paraId="69E864AC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20.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обрядів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церемоній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64" w:type="dxa"/>
          </w:tcPr>
          <w:p w14:paraId="136B1645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970459E" w14:textId="77777777" w:rsidTr="00D605B4">
        <w:trPr>
          <w:jc w:val="center"/>
        </w:trPr>
        <w:tc>
          <w:tcPr>
            <w:tcW w:w="8359" w:type="dxa"/>
          </w:tcPr>
          <w:p w14:paraId="16B60984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50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64" w:type="dxa"/>
          </w:tcPr>
          <w:p w14:paraId="6097C513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3A58D362" w14:textId="77777777" w:rsidTr="00D605B4">
        <w:trPr>
          <w:jc w:val="center"/>
        </w:trPr>
        <w:tc>
          <w:tcPr>
            <w:tcW w:w="8359" w:type="dxa"/>
          </w:tcPr>
          <w:p w14:paraId="232B7E77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50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64" w:type="dxa"/>
          </w:tcPr>
          <w:p w14:paraId="569F5A52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1D90C9BD" w14:textId="77777777" w:rsidTr="00D605B4">
        <w:trPr>
          <w:jc w:val="center"/>
        </w:trPr>
        <w:tc>
          <w:tcPr>
            <w:tcW w:w="8359" w:type="dxa"/>
          </w:tcPr>
          <w:p w14:paraId="7CB21709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21.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Народні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депутати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депутати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рад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приймальні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у тому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числі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коли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імені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депутата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укладається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організацією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інтересах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депутата і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його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депутатської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приймальні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випадків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коли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інтересах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народного депутата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уповноважений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орган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Верховної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Ради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в такому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разі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застосовується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  <w:hyperlink r:id="rId6" w:anchor="n49">
              <w:r w:rsidRPr="00D605B4">
                <w:rPr>
                  <w:rFonts w:ascii="Times New Roman" w:eastAsia="Times New Roman" w:hAnsi="Times New Roman" w:cs="Times New Roman"/>
                  <w:color w:val="006600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>пункт 13</w:t>
              </w:r>
            </w:hyperlink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цієї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Методики):</w:t>
            </w:r>
          </w:p>
        </w:tc>
        <w:tc>
          <w:tcPr>
            <w:tcW w:w="1464" w:type="dxa"/>
          </w:tcPr>
          <w:p w14:paraId="572ABC90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B958089" w14:textId="77777777" w:rsidTr="00D605B4">
        <w:trPr>
          <w:jc w:val="center"/>
        </w:trPr>
        <w:tc>
          <w:tcPr>
            <w:tcW w:w="8359" w:type="dxa"/>
          </w:tcPr>
          <w:p w14:paraId="569820F0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50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64" w:type="dxa"/>
          </w:tcPr>
          <w:p w14:paraId="253489C1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7156E60D" w14:textId="77777777" w:rsidTr="00D605B4">
        <w:trPr>
          <w:trHeight w:val="475"/>
          <w:jc w:val="center"/>
        </w:trPr>
        <w:tc>
          <w:tcPr>
            <w:tcW w:w="8359" w:type="dxa"/>
          </w:tcPr>
          <w:p w14:paraId="6170F649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50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64" w:type="dxa"/>
          </w:tcPr>
          <w:p w14:paraId="45A54BBA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01773BD9" w14:textId="77777777" w:rsidTr="00D605B4">
        <w:trPr>
          <w:trHeight w:val="755"/>
          <w:jc w:val="center"/>
        </w:trPr>
        <w:tc>
          <w:tcPr>
            <w:tcW w:w="8359" w:type="dxa"/>
          </w:tcPr>
          <w:p w14:paraId="2DC46581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22.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ветеранів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реабілітаційних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ветеранів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64" w:type="dxa"/>
          </w:tcPr>
          <w:p w14:paraId="6276C52D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D78977D" w14:textId="77777777" w:rsidTr="00D605B4">
        <w:trPr>
          <w:trHeight w:val="428"/>
          <w:jc w:val="center"/>
        </w:trPr>
        <w:tc>
          <w:tcPr>
            <w:tcW w:w="8359" w:type="dxa"/>
          </w:tcPr>
          <w:p w14:paraId="563FA7E8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64" w:type="dxa"/>
          </w:tcPr>
          <w:p w14:paraId="63195256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</w:t>
            </w:r>
          </w:p>
        </w:tc>
      </w:tr>
      <w:tr w:rsidR="00D605B4" w:rsidRPr="00D605B4" w14:paraId="77A7E36A" w14:textId="77777777" w:rsidTr="00D605B4">
        <w:trPr>
          <w:jc w:val="center"/>
        </w:trPr>
        <w:tc>
          <w:tcPr>
            <w:tcW w:w="8359" w:type="dxa"/>
          </w:tcPr>
          <w:p w14:paraId="765885FA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64" w:type="dxa"/>
          </w:tcPr>
          <w:p w14:paraId="3D18B36B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6F086AF0" w14:textId="77777777" w:rsidTr="00D605B4">
        <w:trPr>
          <w:trHeight w:val="632"/>
          <w:jc w:val="center"/>
        </w:trPr>
        <w:tc>
          <w:tcPr>
            <w:tcW w:w="8359" w:type="dxa"/>
          </w:tcPr>
          <w:p w14:paraId="7ECC47A6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23.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Реабілітаційні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установи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таких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реабілітаційних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64" w:type="dxa"/>
          </w:tcPr>
          <w:p w14:paraId="7DE5AC1A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8B2F6BF" w14:textId="77777777" w:rsidTr="00D605B4">
        <w:trPr>
          <w:jc w:val="center"/>
        </w:trPr>
        <w:tc>
          <w:tcPr>
            <w:tcW w:w="8359" w:type="dxa"/>
          </w:tcPr>
          <w:p w14:paraId="30FB5F04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64" w:type="dxa"/>
          </w:tcPr>
          <w:p w14:paraId="3678F099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</w:t>
            </w:r>
          </w:p>
        </w:tc>
      </w:tr>
      <w:tr w:rsidR="00D605B4" w:rsidRPr="00D605B4" w14:paraId="434D9EE2" w14:textId="77777777" w:rsidTr="00D605B4">
        <w:trPr>
          <w:jc w:val="center"/>
        </w:trPr>
        <w:tc>
          <w:tcPr>
            <w:tcW w:w="8359" w:type="dxa"/>
          </w:tcPr>
          <w:p w14:paraId="64B0DD11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64" w:type="dxa"/>
          </w:tcPr>
          <w:p w14:paraId="701DD3A7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73FC9A4A" w14:textId="77777777" w:rsidTr="00D605B4">
        <w:trPr>
          <w:jc w:val="center"/>
        </w:trPr>
        <w:tc>
          <w:tcPr>
            <w:tcW w:w="8359" w:type="dxa"/>
          </w:tcPr>
          <w:p w14:paraId="13D52FA0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24.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обрядів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церемоній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момент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  <w:hyperlink r:id="rId7">
              <w:r w:rsidRPr="00D605B4">
                <w:rPr>
                  <w:rFonts w:ascii="Times New Roman" w:eastAsia="Times New Roman" w:hAnsi="Times New Roman" w:cs="Times New Roman"/>
                  <w:color w:val="000099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 xml:space="preserve">Закону </w:t>
              </w:r>
              <w:proofErr w:type="spellStart"/>
              <w:r w:rsidRPr="00D605B4">
                <w:rPr>
                  <w:rFonts w:ascii="Times New Roman" w:eastAsia="Times New Roman" w:hAnsi="Times New Roman" w:cs="Times New Roman"/>
                  <w:color w:val="000099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>України</w:t>
              </w:r>
              <w:proofErr w:type="spellEnd"/>
            </w:hyperlink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 “Про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державного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майна”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безоплатно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використовували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підставі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договору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позички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договору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обрядів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церемоній</w:t>
            </w:r>
            <w:proofErr w:type="spellEnd"/>
          </w:p>
        </w:tc>
        <w:tc>
          <w:tcPr>
            <w:tcW w:w="1464" w:type="dxa"/>
          </w:tcPr>
          <w:p w14:paraId="7490D9B3" w14:textId="77777777" w:rsidR="00D605B4" w:rsidRPr="00D605B4" w:rsidRDefault="00D605B4" w:rsidP="00D605B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0,01</w:t>
            </w:r>
          </w:p>
        </w:tc>
      </w:tr>
    </w:tbl>
    <w:p w14:paraId="3CB8093C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val="ru" w:eastAsia="uk-UA"/>
          <w14:ligatures w14:val="none"/>
        </w:rPr>
      </w:pPr>
    </w:p>
    <w:p w14:paraId="7B47227A" w14:textId="77777777" w:rsidR="00D605B4" w:rsidRDefault="00D605B4" w:rsidP="00D605B4">
      <w:pPr>
        <w:rPr>
          <w:rFonts w:ascii="Calibri" w:eastAsia="Calibri" w:hAnsi="Calibri" w:cs="Calibri"/>
          <w:kern w:val="0"/>
          <w:lang w:val="ru" w:eastAsia="uk-UA"/>
          <w14:ligatures w14:val="none"/>
        </w:rPr>
      </w:pPr>
    </w:p>
    <w:p w14:paraId="0C8992AE" w14:textId="2364AE91" w:rsidR="00D605B4" w:rsidRPr="00D605B4" w:rsidRDefault="00D605B4" w:rsidP="00D605B4">
      <w:pPr>
        <w:keepNext/>
        <w:keepLines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lastRenderedPageBreak/>
        <w:t>Додаток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t xml:space="preserve"> 2</w:t>
      </w:r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br/>
        <w:t xml:space="preserve">до Методики </w:t>
      </w:r>
    </w:p>
    <w:p w14:paraId="0698B93F" w14:textId="77777777" w:rsidR="00D605B4" w:rsidRDefault="00D605B4" w:rsidP="00D605B4">
      <w:pPr>
        <w:keepNext/>
        <w:keepLines/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</w:p>
    <w:p w14:paraId="2E9D91BF" w14:textId="77777777" w:rsidR="00D605B4" w:rsidRPr="00D605B4" w:rsidRDefault="00D605B4" w:rsidP="00D605B4">
      <w:pPr>
        <w:keepNext/>
        <w:keepLines/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</w:p>
    <w:p w14:paraId="14CCC36D" w14:textId="77777777" w:rsidR="00D605B4" w:rsidRPr="00D605B4" w:rsidRDefault="00D605B4" w:rsidP="00D605B4">
      <w:pPr>
        <w:keepNext/>
        <w:keepLines/>
        <w:spacing w:after="24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ОРЕНДНІ 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 xml:space="preserve">ставки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продовжуються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вперше</w:t>
      </w:r>
      <w:proofErr w:type="spellEnd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417"/>
      </w:tblGrid>
      <w:tr w:rsidR="00D605B4" w:rsidRPr="00D605B4" w14:paraId="3A835B26" w14:textId="77777777" w:rsidTr="00D605B4">
        <w:tc>
          <w:tcPr>
            <w:tcW w:w="8217" w:type="dxa"/>
          </w:tcPr>
          <w:p w14:paraId="0E71F881" w14:textId="77777777" w:rsidR="00D605B4" w:rsidRPr="00D605B4" w:rsidRDefault="00D605B4" w:rsidP="00D605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Найменування</w:t>
            </w:r>
            <w:proofErr w:type="spellEnd"/>
          </w:p>
        </w:tc>
        <w:tc>
          <w:tcPr>
            <w:tcW w:w="1417" w:type="dxa"/>
          </w:tcPr>
          <w:p w14:paraId="4557206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ставка,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відсотків</w:t>
            </w:r>
            <w:proofErr w:type="spellEnd"/>
          </w:p>
        </w:tc>
      </w:tr>
      <w:tr w:rsidR="00D605B4" w:rsidRPr="00D605B4" w14:paraId="2F798E18" w14:textId="77777777" w:rsidTr="00D605B4">
        <w:tc>
          <w:tcPr>
            <w:tcW w:w="8217" w:type="dxa"/>
          </w:tcPr>
          <w:p w14:paraId="5C4C961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єдиних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майнових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комплексів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їх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відокремлених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структурних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підрозділів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для:</w:t>
            </w:r>
          </w:p>
        </w:tc>
        <w:tc>
          <w:tcPr>
            <w:tcW w:w="1417" w:type="dxa"/>
          </w:tcPr>
          <w:p w14:paraId="0126258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4599693" w14:textId="77777777" w:rsidTr="00D605B4">
        <w:tc>
          <w:tcPr>
            <w:tcW w:w="8217" w:type="dxa"/>
          </w:tcPr>
          <w:p w14:paraId="654D0C7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тютюнової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лікеро-горілчаної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виноробної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радгоспів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заводів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виробляють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виноробну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продукцію</w:t>
            </w:r>
            <w:proofErr w:type="spellEnd"/>
          </w:p>
        </w:tc>
        <w:tc>
          <w:tcPr>
            <w:tcW w:w="1417" w:type="dxa"/>
          </w:tcPr>
          <w:p w14:paraId="57E3AC6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25</w:t>
            </w:r>
          </w:p>
        </w:tc>
      </w:tr>
      <w:tr w:rsidR="00D605B4" w:rsidRPr="00D605B4" w14:paraId="44B87791" w14:textId="77777777" w:rsidTr="00D605B4">
        <w:tc>
          <w:tcPr>
            <w:tcW w:w="8217" w:type="dxa"/>
          </w:tcPr>
          <w:p w14:paraId="0BF2773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електричного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електронного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устаткування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деревини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деревини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меблів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концертно-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видовищної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виставкової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ресторанів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морського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залізничного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автомобільного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транспорту,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торгівлі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випуску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лотерейних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білетів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лотерей,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кольорової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металургії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нафтогазодобувної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</w:p>
        </w:tc>
        <w:tc>
          <w:tcPr>
            <w:tcW w:w="1417" w:type="dxa"/>
          </w:tcPr>
          <w:p w14:paraId="6FD475C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20</w:t>
            </w:r>
          </w:p>
        </w:tc>
      </w:tr>
      <w:tr w:rsidR="00D605B4" w:rsidRPr="00D605B4" w14:paraId="52EDB55B" w14:textId="77777777" w:rsidTr="00D605B4">
        <w:tc>
          <w:tcPr>
            <w:tcW w:w="8217" w:type="dxa"/>
          </w:tcPr>
          <w:p w14:paraId="73CFC8C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3)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електроенергетики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газової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хімічної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нафтохімічної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чорної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металургії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зв’язку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швейної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текстильної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ресторанного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ресторанів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транспортних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устаткування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їх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ремонту,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машин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устаткування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призначеного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механічного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термічного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оброблення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матеріалів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здійснення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операцій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гумових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пластмасових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лісового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рибного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целюлозно-паперової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переробки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видобування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неенергетичних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матеріалів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додаткових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транспортних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допоміжних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операцій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паливної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побутового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обслуговування</w:t>
            </w:r>
            <w:proofErr w:type="spellEnd"/>
          </w:p>
        </w:tc>
        <w:tc>
          <w:tcPr>
            <w:tcW w:w="1417" w:type="dxa"/>
          </w:tcPr>
          <w:p w14:paraId="0556184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16</w:t>
            </w:r>
          </w:p>
        </w:tc>
      </w:tr>
      <w:tr w:rsidR="00D605B4" w:rsidRPr="00D605B4" w14:paraId="4CE87CA1" w14:textId="77777777" w:rsidTr="00D605B4">
        <w:tc>
          <w:tcPr>
            <w:tcW w:w="8217" w:type="dxa"/>
          </w:tcPr>
          <w:p w14:paraId="045336E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4)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сільського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харчової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лікеро-горілчаної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виноробної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радгоспів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заводів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тих,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виробляють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виноробну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продукцію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металообробки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науки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легкої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швейної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текстильної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промисловості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будівельних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матеріалів</w:t>
            </w:r>
            <w:proofErr w:type="spellEnd"/>
          </w:p>
        </w:tc>
        <w:tc>
          <w:tcPr>
            <w:tcW w:w="1417" w:type="dxa"/>
          </w:tcPr>
          <w:p w14:paraId="076F1E4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12</w:t>
            </w:r>
          </w:p>
        </w:tc>
      </w:tr>
      <w:tr w:rsidR="00D605B4" w:rsidRPr="00D605B4" w14:paraId="2B0EDCA3" w14:textId="77777777" w:rsidTr="00D605B4">
        <w:tc>
          <w:tcPr>
            <w:tcW w:w="8217" w:type="dxa"/>
          </w:tcPr>
          <w:p w14:paraId="0E01FE3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5)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об’єктів</w:t>
            </w:r>
            <w:proofErr w:type="spellEnd"/>
          </w:p>
        </w:tc>
        <w:tc>
          <w:tcPr>
            <w:tcW w:w="1417" w:type="dxa"/>
          </w:tcPr>
          <w:p w14:paraId="7D83242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10</w:t>
            </w:r>
          </w:p>
        </w:tc>
      </w:tr>
      <w:tr w:rsidR="00D605B4" w:rsidRPr="00D605B4" w14:paraId="561BB0C4" w14:textId="77777777" w:rsidTr="00D605B4">
        <w:tc>
          <w:tcPr>
            <w:tcW w:w="8217" w:type="dxa"/>
          </w:tcPr>
          <w:p w14:paraId="7433256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нерухомого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майна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цільовим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призначенням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692F494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310F011" w14:textId="77777777" w:rsidTr="00D605B4">
        <w:tc>
          <w:tcPr>
            <w:tcW w:w="8217" w:type="dxa"/>
          </w:tcPr>
          <w:p w14:paraId="7F5925F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 xml:space="preserve">1)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казино,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автоматів</w:t>
            </w:r>
            <w:proofErr w:type="spellEnd"/>
          </w:p>
        </w:tc>
        <w:tc>
          <w:tcPr>
            <w:tcW w:w="1417" w:type="dxa"/>
          </w:tcPr>
          <w:p w14:paraId="1A1281F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100</w:t>
            </w:r>
          </w:p>
        </w:tc>
      </w:tr>
      <w:tr w:rsidR="00D605B4" w:rsidRPr="00D605B4" w14:paraId="5870A13A" w14:textId="77777777" w:rsidTr="00D605B4">
        <w:tc>
          <w:tcPr>
            <w:tcW w:w="8217" w:type="dxa"/>
          </w:tcPr>
          <w:p w14:paraId="4BD6A85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пунктів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продажу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лотерейних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білетів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пунктів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обміну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валюти</w:t>
            </w:r>
            <w:proofErr w:type="spellEnd"/>
          </w:p>
        </w:tc>
        <w:tc>
          <w:tcPr>
            <w:tcW w:w="1417" w:type="dxa"/>
          </w:tcPr>
          <w:p w14:paraId="0506297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45</w:t>
            </w:r>
          </w:p>
        </w:tc>
      </w:tr>
      <w:tr w:rsidR="00D605B4" w:rsidRPr="00D605B4" w14:paraId="6DC5CEC9" w14:textId="77777777" w:rsidTr="00D605B4">
        <w:tc>
          <w:tcPr>
            <w:tcW w:w="8217" w:type="dxa"/>
          </w:tcPr>
          <w:p w14:paraId="73E60B5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3)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5B4E815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40</w:t>
            </w:r>
          </w:p>
        </w:tc>
      </w:tr>
      <w:tr w:rsidR="00D605B4" w:rsidRPr="00D605B4" w14:paraId="22E42927" w14:textId="77777777" w:rsidTr="00D605B4">
        <w:tc>
          <w:tcPr>
            <w:tcW w:w="8217" w:type="dxa"/>
          </w:tcPr>
          <w:p w14:paraId="589AD47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банкоматів</w:t>
            </w:r>
            <w:proofErr w:type="spellEnd"/>
          </w:p>
        </w:tc>
        <w:tc>
          <w:tcPr>
            <w:tcW w:w="1417" w:type="dxa"/>
          </w:tcPr>
          <w:p w14:paraId="46D6360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4D564F66" w14:textId="77777777" w:rsidTr="00D605B4">
        <w:tc>
          <w:tcPr>
            <w:tcW w:w="8217" w:type="dxa"/>
          </w:tcPr>
          <w:p w14:paraId="260B78E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ресторанів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нічним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режимом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роботи</w:t>
            </w:r>
            <w:proofErr w:type="spellEnd"/>
          </w:p>
        </w:tc>
        <w:tc>
          <w:tcPr>
            <w:tcW w:w="1417" w:type="dxa"/>
          </w:tcPr>
          <w:p w14:paraId="21296D6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0DC32979" w14:textId="77777777" w:rsidTr="00D605B4">
        <w:tc>
          <w:tcPr>
            <w:tcW w:w="8217" w:type="dxa"/>
          </w:tcPr>
          <w:p w14:paraId="0330CD2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відділень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банків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ломбардів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бірж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брокерських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дилерських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маклерських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рієлторських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контор (агентств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нерухомості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17" w:type="dxa"/>
          </w:tcPr>
          <w:p w14:paraId="023A330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61C55C3" w14:textId="77777777" w:rsidTr="00D605B4">
        <w:tc>
          <w:tcPr>
            <w:tcW w:w="8217" w:type="dxa"/>
          </w:tcPr>
          <w:p w14:paraId="131AC05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торговельних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продажу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ювелірних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дорогоцінних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металів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дорогоцінного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каміння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антикваріату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зброї</w:t>
            </w:r>
            <w:proofErr w:type="spellEnd"/>
          </w:p>
        </w:tc>
        <w:tc>
          <w:tcPr>
            <w:tcW w:w="1417" w:type="dxa"/>
          </w:tcPr>
          <w:p w14:paraId="0451EDC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47E7A8B0" w14:textId="77777777" w:rsidTr="00D605B4">
        <w:tc>
          <w:tcPr>
            <w:tcW w:w="8217" w:type="dxa"/>
          </w:tcPr>
          <w:p w14:paraId="1812F96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4)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2AF65A0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30</w:t>
            </w:r>
          </w:p>
        </w:tc>
      </w:tr>
      <w:tr w:rsidR="00D605B4" w:rsidRPr="00D605B4" w14:paraId="6EEC8CDD" w14:textId="77777777" w:rsidTr="00D605B4">
        <w:tc>
          <w:tcPr>
            <w:tcW w:w="8217" w:type="dxa"/>
          </w:tcPr>
          <w:p w14:paraId="1D3F36F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реклами</w:t>
            </w:r>
            <w:proofErr w:type="spellEnd"/>
          </w:p>
        </w:tc>
        <w:tc>
          <w:tcPr>
            <w:tcW w:w="1417" w:type="dxa"/>
          </w:tcPr>
          <w:p w14:paraId="1D2D539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7F65BB5" w14:textId="77777777" w:rsidTr="00D605B4">
        <w:tc>
          <w:tcPr>
            <w:tcW w:w="8217" w:type="dxa"/>
          </w:tcPr>
          <w:p w14:paraId="03E4DF4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саун,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турецьких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лазень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соляріїв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кабінетів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масажу</w:t>
            </w:r>
            <w:proofErr w:type="spellEnd"/>
          </w:p>
        </w:tc>
        <w:tc>
          <w:tcPr>
            <w:tcW w:w="1417" w:type="dxa"/>
          </w:tcPr>
          <w:p w14:paraId="7E56EE0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1CD9B9F" w14:textId="77777777" w:rsidTr="00D605B4">
        <w:tc>
          <w:tcPr>
            <w:tcW w:w="8217" w:type="dxa"/>
          </w:tcPr>
          <w:p w14:paraId="71290E9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торговельних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продажу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автомобілів</w:t>
            </w:r>
            <w:proofErr w:type="spellEnd"/>
          </w:p>
        </w:tc>
        <w:tc>
          <w:tcPr>
            <w:tcW w:w="1417" w:type="dxa"/>
          </w:tcPr>
          <w:p w14:paraId="4F21768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88612A5" w14:textId="77777777" w:rsidTr="00D605B4">
        <w:tc>
          <w:tcPr>
            <w:tcW w:w="8217" w:type="dxa"/>
          </w:tcPr>
          <w:p w14:paraId="57D7F68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зовнішньої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реклами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будівлях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спорудах</w:t>
            </w:r>
            <w:proofErr w:type="spellEnd"/>
          </w:p>
        </w:tc>
        <w:tc>
          <w:tcPr>
            <w:tcW w:w="1417" w:type="dxa"/>
          </w:tcPr>
          <w:p w14:paraId="13199C1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022BC28" w14:textId="77777777" w:rsidTr="00D605B4">
        <w:tc>
          <w:tcPr>
            <w:tcW w:w="8217" w:type="dxa"/>
          </w:tcPr>
          <w:p w14:paraId="2A861A2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5)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концертів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видовищно-розважальної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</w:p>
        </w:tc>
        <w:tc>
          <w:tcPr>
            <w:tcW w:w="1417" w:type="dxa"/>
          </w:tcPr>
          <w:p w14:paraId="75A7598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25</w:t>
            </w:r>
          </w:p>
        </w:tc>
      </w:tr>
      <w:tr w:rsidR="00D605B4" w:rsidRPr="00D605B4" w14:paraId="1A6E458C" w14:textId="77777777" w:rsidTr="00D605B4">
        <w:tc>
          <w:tcPr>
            <w:tcW w:w="8217" w:type="dxa"/>
          </w:tcPr>
          <w:p w14:paraId="3F9906D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6)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туроператорську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турагентську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готелів</w:t>
            </w:r>
            <w:proofErr w:type="spellEnd"/>
          </w:p>
        </w:tc>
        <w:tc>
          <w:tcPr>
            <w:tcW w:w="1417" w:type="dxa"/>
          </w:tcPr>
          <w:p w14:paraId="6CA8952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22</w:t>
            </w:r>
          </w:p>
        </w:tc>
      </w:tr>
      <w:tr w:rsidR="00D605B4" w:rsidRPr="00D605B4" w14:paraId="0D4DD5B6" w14:textId="77777777" w:rsidTr="00D605B4">
        <w:tc>
          <w:tcPr>
            <w:tcW w:w="8217" w:type="dxa"/>
          </w:tcPr>
          <w:p w14:paraId="136EB9A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7)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19D4A1B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20</w:t>
            </w:r>
          </w:p>
        </w:tc>
      </w:tr>
      <w:tr w:rsidR="00D605B4" w:rsidRPr="00D605B4" w14:paraId="137E62CF" w14:textId="77777777" w:rsidTr="00D605B4">
        <w:tc>
          <w:tcPr>
            <w:tcW w:w="8217" w:type="dxa"/>
          </w:tcPr>
          <w:p w14:paraId="7E0C58D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здійснюють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технічне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обслуговування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ремонт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автомобілів</w:t>
            </w:r>
            <w:proofErr w:type="spellEnd"/>
          </w:p>
        </w:tc>
        <w:tc>
          <w:tcPr>
            <w:tcW w:w="1417" w:type="dxa"/>
          </w:tcPr>
          <w:p w14:paraId="3ABA2DD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4EBFC127" w14:textId="77777777" w:rsidTr="00D605B4">
        <w:tc>
          <w:tcPr>
            <w:tcW w:w="8217" w:type="dxa"/>
          </w:tcPr>
          <w:p w14:paraId="72A16BC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ремонту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ювелірних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виробів</w:t>
            </w:r>
            <w:proofErr w:type="spellEnd"/>
          </w:p>
        </w:tc>
        <w:tc>
          <w:tcPr>
            <w:tcW w:w="1417" w:type="dxa"/>
          </w:tcPr>
          <w:p w14:paraId="35B07D3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5206906" w14:textId="77777777" w:rsidTr="00D605B4">
        <w:tc>
          <w:tcPr>
            <w:tcW w:w="8217" w:type="dxa"/>
          </w:tcPr>
          <w:p w14:paraId="2D61D4C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аптек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приміщеннях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лікувально-профілактичних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</w:p>
        </w:tc>
        <w:tc>
          <w:tcPr>
            <w:tcW w:w="1417" w:type="dxa"/>
          </w:tcPr>
          <w:p w14:paraId="1D2CA77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10C31A7" w14:textId="77777777" w:rsidTr="00D605B4">
        <w:tc>
          <w:tcPr>
            <w:tcW w:w="8217" w:type="dxa"/>
          </w:tcPr>
          <w:p w14:paraId="5769F64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приватних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</w:p>
        </w:tc>
        <w:tc>
          <w:tcPr>
            <w:tcW w:w="1417" w:type="dxa"/>
          </w:tcPr>
          <w:p w14:paraId="1718E4B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08DAC31E" w14:textId="77777777" w:rsidTr="00D605B4">
        <w:tc>
          <w:tcPr>
            <w:tcW w:w="8217" w:type="dxa"/>
          </w:tcPr>
          <w:p w14:paraId="3BD9AB5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основі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приватної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власності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господарську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медичної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практики</w:t>
            </w:r>
          </w:p>
        </w:tc>
        <w:tc>
          <w:tcPr>
            <w:tcW w:w="1417" w:type="dxa"/>
          </w:tcPr>
          <w:p w14:paraId="288EC9A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E137A11" w14:textId="77777777" w:rsidTr="00D605B4">
        <w:tc>
          <w:tcPr>
            <w:tcW w:w="8217" w:type="dxa"/>
          </w:tcPr>
          <w:p w14:paraId="4B7C194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торговельних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продажу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окулярів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лінз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скелець</w:t>
            </w:r>
            <w:proofErr w:type="spellEnd"/>
          </w:p>
        </w:tc>
        <w:tc>
          <w:tcPr>
            <w:tcW w:w="1417" w:type="dxa"/>
          </w:tcPr>
          <w:p w14:paraId="72E1DE2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7848F4EF" w14:textId="77777777" w:rsidTr="00D605B4">
        <w:tc>
          <w:tcPr>
            <w:tcW w:w="8217" w:type="dxa"/>
          </w:tcPr>
          <w:p w14:paraId="2C3ED58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редакцій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масової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інформації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0192D02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864E5ED" w14:textId="77777777" w:rsidTr="00D605B4">
        <w:tc>
          <w:tcPr>
            <w:tcW w:w="8217" w:type="dxa"/>
          </w:tcPr>
          <w:p w14:paraId="21E9639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рекламного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еротичного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характеру</w:t>
            </w:r>
          </w:p>
        </w:tc>
        <w:tc>
          <w:tcPr>
            <w:tcW w:w="1417" w:type="dxa"/>
          </w:tcPr>
          <w:p w14:paraId="119DA8E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DDF1A1D" w14:textId="77777777" w:rsidTr="00D605B4">
        <w:tc>
          <w:tcPr>
            <w:tcW w:w="8217" w:type="dxa"/>
          </w:tcPr>
          <w:p w14:paraId="01D5B0A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тих,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засновані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міжнародними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участю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юридичних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громадянства</w:t>
            </w:r>
            <w:proofErr w:type="spellEnd"/>
          </w:p>
        </w:tc>
        <w:tc>
          <w:tcPr>
            <w:tcW w:w="1417" w:type="dxa"/>
          </w:tcPr>
          <w:p w14:paraId="7DE6E4A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7E5C2185" w14:textId="77777777" w:rsidTr="00D605B4">
        <w:tc>
          <w:tcPr>
            <w:tcW w:w="8217" w:type="dxa"/>
          </w:tcPr>
          <w:p w14:paraId="12F9988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тих, де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понад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50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відсотків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загального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обсягу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випуску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становлять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матеріали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іноземних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масової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інформації</w:t>
            </w:r>
            <w:proofErr w:type="spellEnd"/>
          </w:p>
        </w:tc>
        <w:tc>
          <w:tcPr>
            <w:tcW w:w="1417" w:type="dxa"/>
          </w:tcPr>
          <w:p w14:paraId="0C5D9CF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D581668" w14:textId="77777777" w:rsidTr="00D605B4">
        <w:tc>
          <w:tcPr>
            <w:tcW w:w="8217" w:type="dxa"/>
          </w:tcPr>
          <w:p w14:paraId="2F7EF17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тих,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засновані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участю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одним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виробництво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постачання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паперу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поліграфічного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обладнання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технічних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мовлення</w:t>
            </w:r>
            <w:proofErr w:type="spellEnd"/>
          </w:p>
        </w:tc>
        <w:tc>
          <w:tcPr>
            <w:tcW w:w="1417" w:type="dxa"/>
          </w:tcPr>
          <w:p w14:paraId="340134E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4907FF7B" w14:textId="77777777" w:rsidTr="00D605B4">
        <w:tc>
          <w:tcPr>
            <w:tcW w:w="8217" w:type="dxa"/>
          </w:tcPr>
          <w:p w14:paraId="2760510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8)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35102FD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18</w:t>
            </w:r>
          </w:p>
        </w:tc>
      </w:tr>
      <w:tr w:rsidR="00D605B4" w:rsidRPr="00D605B4" w14:paraId="7A9C5EF1" w14:textId="77777777" w:rsidTr="00D605B4">
        <w:tc>
          <w:tcPr>
            <w:tcW w:w="8217" w:type="dxa"/>
          </w:tcPr>
          <w:p w14:paraId="52E0EA3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турбаз,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мотелів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кемпінгів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літніх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будиночків</w:t>
            </w:r>
            <w:proofErr w:type="spellEnd"/>
          </w:p>
        </w:tc>
        <w:tc>
          <w:tcPr>
            <w:tcW w:w="1417" w:type="dxa"/>
          </w:tcPr>
          <w:p w14:paraId="1987678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0D8D686" w14:textId="77777777" w:rsidTr="00D605B4">
        <w:tc>
          <w:tcPr>
            <w:tcW w:w="8217" w:type="dxa"/>
          </w:tcPr>
          <w:p w14:paraId="5BF331C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торговельних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продажу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непродовольчих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товарів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алкогольних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тютюнових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*</w:t>
            </w:r>
          </w:p>
        </w:tc>
        <w:tc>
          <w:tcPr>
            <w:tcW w:w="1417" w:type="dxa"/>
          </w:tcPr>
          <w:p w14:paraId="1BC933E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8438881" w14:textId="77777777" w:rsidTr="00D605B4">
        <w:tc>
          <w:tcPr>
            <w:tcW w:w="8217" w:type="dxa"/>
          </w:tcPr>
          <w:p w14:paraId="69AA8F9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офісних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приміщень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відділень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банків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ломбардів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бірж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брокерських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дилерських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маклерських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рієлторських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контор (агентств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нерухомості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17" w:type="dxa"/>
          </w:tcPr>
          <w:p w14:paraId="4F53ADE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444763F" w14:textId="77777777" w:rsidTr="00D605B4">
        <w:tc>
          <w:tcPr>
            <w:tcW w:w="8217" w:type="dxa"/>
          </w:tcPr>
          <w:p w14:paraId="31D893E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пов’язані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переказом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грошей</w:t>
            </w:r>
          </w:p>
        </w:tc>
        <w:tc>
          <w:tcPr>
            <w:tcW w:w="1417" w:type="dxa"/>
          </w:tcPr>
          <w:p w14:paraId="5CAFEDD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D1BFE1C" w14:textId="77777777" w:rsidTr="00D605B4">
        <w:tc>
          <w:tcPr>
            <w:tcW w:w="8217" w:type="dxa"/>
          </w:tcPr>
          <w:p w14:paraId="3179359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права,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бухгалтерського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обліку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оподаткування</w:t>
            </w:r>
            <w:proofErr w:type="spellEnd"/>
          </w:p>
        </w:tc>
        <w:tc>
          <w:tcPr>
            <w:tcW w:w="1417" w:type="dxa"/>
          </w:tcPr>
          <w:p w14:paraId="120AA30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190352F" w14:textId="77777777" w:rsidTr="00D605B4">
        <w:tc>
          <w:tcPr>
            <w:tcW w:w="8217" w:type="dxa"/>
          </w:tcPr>
          <w:p w14:paraId="75F03A1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антен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технічних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антен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операторів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телекомунікацій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рухомого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мобільного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зв’язку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операторів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провайдерів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телекомунікацій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доступу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Інтернету</w:t>
            </w:r>
            <w:proofErr w:type="spellEnd"/>
          </w:p>
        </w:tc>
        <w:tc>
          <w:tcPr>
            <w:tcW w:w="1417" w:type="dxa"/>
          </w:tcPr>
          <w:p w14:paraId="1BF2180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5FB06D4" w14:textId="77777777" w:rsidTr="00D605B4">
        <w:tc>
          <w:tcPr>
            <w:tcW w:w="8217" w:type="dxa"/>
          </w:tcPr>
          <w:p w14:paraId="04551CD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9)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5040835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15</w:t>
            </w:r>
          </w:p>
        </w:tc>
      </w:tr>
      <w:tr w:rsidR="00D605B4" w:rsidRPr="00D605B4" w14:paraId="5EBE46F5" w14:textId="77777777" w:rsidTr="00D605B4">
        <w:tc>
          <w:tcPr>
            <w:tcW w:w="8217" w:type="dxa"/>
          </w:tcPr>
          <w:p w14:paraId="1A41E0A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ресторанів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кафе,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закусочних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буфетів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кафетеріїв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здійснюють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продаж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товарів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підакцизної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групи*</w:t>
            </w:r>
          </w:p>
        </w:tc>
        <w:tc>
          <w:tcPr>
            <w:tcW w:w="1417" w:type="dxa"/>
          </w:tcPr>
          <w:p w14:paraId="6C539D1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E4CD8F0" w14:textId="77777777" w:rsidTr="00D605B4">
        <w:tc>
          <w:tcPr>
            <w:tcW w:w="8217" w:type="dxa"/>
          </w:tcPr>
          <w:p w14:paraId="44B5097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>ветеринарних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лікарень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клінік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лабораторій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ветеринарної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медицини</w:t>
            </w:r>
            <w:proofErr w:type="spellEnd"/>
          </w:p>
        </w:tc>
        <w:tc>
          <w:tcPr>
            <w:tcW w:w="1417" w:type="dxa"/>
          </w:tcPr>
          <w:p w14:paraId="7039A3C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09E4E974" w14:textId="77777777" w:rsidTr="00D605B4">
        <w:tc>
          <w:tcPr>
            <w:tcW w:w="8217" w:type="dxa"/>
          </w:tcPr>
          <w:p w14:paraId="152B72B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шлюбних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знайомств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весіль</w:t>
            </w:r>
            <w:proofErr w:type="spellEnd"/>
          </w:p>
        </w:tc>
        <w:tc>
          <w:tcPr>
            <w:tcW w:w="1417" w:type="dxa"/>
          </w:tcPr>
          <w:p w14:paraId="3EDB9B6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E8BDBD5" w14:textId="77777777" w:rsidTr="00D605B4">
        <w:tc>
          <w:tcPr>
            <w:tcW w:w="8217" w:type="dxa"/>
          </w:tcPr>
          <w:p w14:paraId="2DDCBB5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крамниць-складів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магазинів-складів</w:t>
            </w:r>
            <w:proofErr w:type="spellEnd"/>
          </w:p>
        </w:tc>
        <w:tc>
          <w:tcPr>
            <w:tcW w:w="1417" w:type="dxa"/>
          </w:tcPr>
          <w:p w14:paraId="080CCFC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5291E16" w14:textId="77777777" w:rsidTr="00D605B4">
        <w:tc>
          <w:tcPr>
            <w:tcW w:w="8217" w:type="dxa"/>
          </w:tcPr>
          <w:p w14:paraId="067D72B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приватних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архівних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</w:p>
        </w:tc>
        <w:tc>
          <w:tcPr>
            <w:tcW w:w="1417" w:type="dxa"/>
          </w:tcPr>
          <w:p w14:paraId="15A6A58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07221A83" w14:textId="77777777" w:rsidTr="00D605B4">
        <w:tc>
          <w:tcPr>
            <w:tcW w:w="8217" w:type="dxa"/>
          </w:tcPr>
          <w:p w14:paraId="0573F70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камер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схову</w:t>
            </w:r>
            <w:proofErr w:type="spellEnd"/>
          </w:p>
        </w:tc>
        <w:tc>
          <w:tcPr>
            <w:tcW w:w="1417" w:type="dxa"/>
          </w:tcPr>
          <w:p w14:paraId="4CD7A00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334AD35" w14:textId="77777777" w:rsidTr="00D605B4">
        <w:tc>
          <w:tcPr>
            <w:tcW w:w="8217" w:type="dxa"/>
          </w:tcPr>
          <w:p w14:paraId="425FC66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стоянок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автомобілів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паркінгів</w:t>
            </w:r>
            <w:proofErr w:type="spellEnd"/>
          </w:p>
        </w:tc>
        <w:tc>
          <w:tcPr>
            <w:tcW w:w="1417" w:type="dxa"/>
          </w:tcPr>
          <w:p w14:paraId="6F4ACA0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92D6196" w14:textId="77777777" w:rsidTr="00D605B4">
        <w:tc>
          <w:tcPr>
            <w:tcW w:w="8217" w:type="dxa"/>
          </w:tcPr>
          <w:p w14:paraId="36E5951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вирощування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квітів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грибів</w:t>
            </w:r>
            <w:proofErr w:type="spellEnd"/>
          </w:p>
        </w:tc>
        <w:tc>
          <w:tcPr>
            <w:tcW w:w="1417" w:type="dxa"/>
          </w:tcPr>
          <w:p w14:paraId="2096184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4E239EF" w14:textId="77777777" w:rsidTr="00D605B4">
        <w:tc>
          <w:tcPr>
            <w:tcW w:w="8217" w:type="dxa"/>
          </w:tcPr>
          <w:p w14:paraId="1D05878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10)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782CAC7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12</w:t>
            </w:r>
          </w:p>
        </w:tc>
      </w:tr>
      <w:tr w:rsidR="00D605B4" w:rsidRPr="00D605B4" w14:paraId="7F3C83BB" w14:textId="77777777" w:rsidTr="00D605B4">
        <w:tc>
          <w:tcPr>
            <w:tcW w:w="8217" w:type="dxa"/>
          </w:tcPr>
          <w:p w14:paraId="55D56FD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виробничу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</w:p>
        </w:tc>
        <w:tc>
          <w:tcPr>
            <w:tcW w:w="1417" w:type="dxa"/>
          </w:tcPr>
          <w:p w14:paraId="7830B27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A441AF1" w14:textId="77777777" w:rsidTr="00D605B4">
        <w:tc>
          <w:tcPr>
            <w:tcW w:w="8217" w:type="dxa"/>
          </w:tcPr>
          <w:p w14:paraId="4F9695C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комп’ютерних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клубів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інтернет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-кафе</w:t>
            </w:r>
          </w:p>
        </w:tc>
        <w:tc>
          <w:tcPr>
            <w:tcW w:w="1417" w:type="dxa"/>
          </w:tcPr>
          <w:p w14:paraId="5EFD662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7765CF2" w14:textId="77777777" w:rsidTr="00D605B4">
        <w:tc>
          <w:tcPr>
            <w:tcW w:w="8217" w:type="dxa"/>
          </w:tcPr>
          <w:p w14:paraId="61CA5B4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аптек,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ветеринарних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аптек</w:t>
            </w:r>
          </w:p>
        </w:tc>
        <w:tc>
          <w:tcPr>
            <w:tcW w:w="1417" w:type="dxa"/>
          </w:tcPr>
          <w:p w14:paraId="2B1D8B5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603D42C" w14:textId="77777777" w:rsidTr="00D605B4">
        <w:tc>
          <w:tcPr>
            <w:tcW w:w="8217" w:type="dxa"/>
          </w:tcPr>
          <w:p w14:paraId="02D8847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рибних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господарств</w:t>
            </w:r>
            <w:proofErr w:type="spellEnd"/>
          </w:p>
        </w:tc>
        <w:tc>
          <w:tcPr>
            <w:tcW w:w="1417" w:type="dxa"/>
          </w:tcPr>
          <w:p w14:paraId="475D6BF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13FA6C2" w14:textId="77777777" w:rsidTr="00D605B4">
        <w:tc>
          <w:tcPr>
            <w:tcW w:w="8217" w:type="dxa"/>
          </w:tcPr>
          <w:p w14:paraId="3BEF8CF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шкіл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курсів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навчання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водіїв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автомобілів</w:t>
            </w:r>
            <w:proofErr w:type="spellEnd"/>
          </w:p>
        </w:tc>
        <w:tc>
          <w:tcPr>
            <w:tcW w:w="1417" w:type="dxa"/>
          </w:tcPr>
          <w:p w14:paraId="7000295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CF89338" w14:textId="77777777" w:rsidTr="00D605B4">
        <w:tc>
          <w:tcPr>
            <w:tcW w:w="8217" w:type="dxa"/>
          </w:tcPr>
          <w:p w14:paraId="11ED2F8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здійснюють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проектні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, проектно-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вишукувальні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, проектно-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конструкторські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роботи</w:t>
            </w:r>
            <w:proofErr w:type="spellEnd"/>
          </w:p>
        </w:tc>
        <w:tc>
          <w:tcPr>
            <w:tcW w:w="1417" w:type="dxa"/>
          </w:tcPr>
          <w:p w14:paraId="534519B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756CB78" w14:textId="77777777" w:rsidTr="00D605B4">
        <w:tc>
          <w:tcPr>
            <w:tcW w:w="8217" w:type="dxa"/>
          </w:tcPr>
          <w:p w14:paraId="073489F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інформаційних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агентств</w:t>
            </w:r>
          </w:p>
        </w:tc>
        <w:tc>
          <w:tcPr>
            <w:tcW w:w="1417" w:type="dxa"/>
          </w:tcPr>
          <w:p w14:paraId="059E5CB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E58867B" w14:textId="77777777" w:rsidTr="00D605B4">
        <w:tc>
          <w:tcPr>
            <w:tcW w:w="8217" w:type="dxa"/>
          </w:tcPr>
          <w:p w14:paraId="47C873E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виставок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непродовольчих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товарів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здійснення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торгівлі</w:t>
            </w:r>
            <w:proofErr w:type="spellEnd"/>
          </w:p>
        </w:tc>
        <w:tc>
          <w:tcPr>
            <w:tcW w:w="1417" w:type="dxa"/>
          </w:tcPr>
          <w:p w14:paraId="7013B01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269E043" w14:textId="77777777" w:rsidTr="00D605B4">
        <w:tc>
          <w:tcPr>
            <w:tcW w:w="8217" w:type="dxa"/>
          </w:tcPr>
          <w:p w14:paraId="652BE1D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кафе,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закусочних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кафетеріїв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їдалень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буфетів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здійснюють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продаж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товарів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підакцизної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групи</w:t>
            </w:r>
          </w:p>
        </w:tc>
        <w:tc>
          <w:tcPr>
            <w:tcW w:w="1417" w:type="dxa"/>
          </w:tcPr>
          <w:p w14:paraId="5F83E80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6ED74E1" w14:textId="77777777" w:rsidTr="00D605B4">
        <w:tc>
          <w:tcPr>
            <w:tcW w:w="8217" w:type="dxa"/>
          </w:tcPr>
          <w:p w14:paraId="12CD444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погодинно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курси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тренінги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семінари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17" w:type="dxa"/>
          </w:tcPr>
          <w:p w14:paraId="67C04A4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1201E7F" w14:textId="77777777" w:rsidTr="00D605B4">
        <w:tc>
          <w:tcPr>
            <w:tcW w:w="8217" w:type="dxa"/>
          </w:tcPr>
          <w:p w14:paraId="6EA9D0B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торговельних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продажу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продовольчих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товарів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товарів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підакцизної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групи</w:t>
            </w:r>
          </w:p>
        </w:tc>
        <w:tc>
          <w:tcPr>
            <w:tcW w:w="1417" w:type="dxa"/>
          </w:tcPr>
          <w:p w14:paraId="03B851A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1045B27" w14:textId="77777777" w:rsidTr="00D605B4">
        <w:tc>
          <w:tcPr>
            <w:tcW w:w="8217" w:type="dxa"/>
          </w:tcPr>
          <w:p w14:paraId="583ED0E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11)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7CE0A41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10</w:t>
            </w:r>
          </w:p>
        </w:tc>
      </w:tr>
      <w:tr w:rsidR="00D605B4" w:rsidRPr="00D605B4" w14:paraId="37CBC951" w14:textId="77777777" w:rsidTr="00D605B4">
        <w:tc>
          <w:tcPr>
            <w:tcW w:w="8217" w:type="dxa"/>
          </w:tcPr>
          <w:p w14:paraId="2F29BB9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кінематографії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основною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кіновиробництво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технічне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обслуговування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кіновиробництва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умови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вони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внесені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 Державного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реєстру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виробників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розповсюджувачів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демонстраторів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фільмів</w:t>
            </w:r>
            <w:proofErr w:type="spellEnd"/>
          </w:p>
        </w:tc>
        <w:tc>
          <w:tcPr>
            <w:tcW w:w="1417" w:type="dxa"/>
          </w:tcPr>
          <w:p w14:paraId="6F0F44B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73A0B47B" w14:textId="77777777" w:rsidTr="00D605B4">
        <w:tc>
          <w:tcPr>
            <w:tcW w:w="8217" w:type="dxa"/>
          </w:tcPr>
          <w:p w14:paraId="1FF7021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редакцій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масової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інформації</w:t>
            </w:r>
            <w:proofErr w:type="spellEnd"/>
          </w:p>
        </w:tc>
        <w:tc>
          <w:tcPr>
            <w:tcW w:w="1417" w:type="dxa"/>
          </w:tcPr>
          <w:p w14:paraId="6218FCA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82437F7" w14:textId="77777777" w:rsidTr="00D605B4">
        <w:tc>
          <w:tcPr>
            <w:tcW w:w="8217" w:type="dxa"/>
          </w:tcPr>
          <w:p w14:paraId="7738C68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приватних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освітніх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відповідній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абзаці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четвертому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підпункту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18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абзаці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третьому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підпункту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20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цього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пункту),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1417" w:type="dxa"/>
          </w:tcPr>
          <w:p w14:paraId="5824D5A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7C4C489" w14:textId="77777777" w:rsidTr="00D605B4">
        <w:tc>
          <w:tcPr>
            <w:tcW w:w="8217" w:type="dxa"/>
          </w:tcPr>
          <w:p w14:paraId="4083B43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12)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науково-практичних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мистецьких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суспільних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політичних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строк,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  30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календарних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протягом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одного року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щодо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кожного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балансоутримувачем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провадить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конгресів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торговельних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виставок</w:t>
            </w:r>
            <w:proofErr w:type="spellEnd"/>
          </w:p>
        </w:tc>
        <w:tc>
          <w:tcPr>
            <w:tcW w:w="1417" w:type="dxa"/>
          </w:tcPr>
          <w:p w14:paraId="17A6097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10</w:t>
            </w:r>
          </w:p>
        </w:tc>
      </w:tr>
      <w:tr w:rsidR="00D605B4" w:rsidRPr="00D605B4" w14:paraId="05F5EA8C" w14:textId="77777777" w:rsidTr="00D605B4">
        <w:tc>
          <w:tcPr>
            <w:tcW w:w="8217" w:type="dxa"/>
          </w:tcPr>
          <w:p w14:paraId="32B4941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13)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54A2D5E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9</w:t>
            </w:r>
          </w:p>
        </w:tc>
      </w:tr>
      <w:tr w:rsidR="00D605B4" w:rsidRPr="00D605B4" w14:paraId="1073CC4D" w14:textId="77777777" w:rsidTr="00D605B4">
        <w:tc>
          <w:tcPr>
            <w:tcW w:w="8217" w:type="dxa"/>
          </w:tcPr>
          <w:p w14:paraId="4633C39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спорту,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тих,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наведені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абзацах восьмому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дев’ятому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підпункту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18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цього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пункту</w:t>
            </w:r>
          </w:p>
        </w:tc>
        <w:tc>
          <w:tcPr>
            <w:tcW w:w="1417" w:type="dxa"/>
          </w:tcPr>
          <w:p w14:paraId="4AE363A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FD28794" w14:textId="77777777" w:rsidTr="00D605B4">
        <w:tc>
          <w:tcPr>
            <w:tcW w:w="8217" w:type="dxa"/>
          </w:tcPr>
          <w:p w14:paraId="4571616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отримання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ліцензії</w:t>
            </w:r>
            <w:proofErr w:type="spellEnd"/>
          </w:p>
        </w:tc>
        <w:tc>
          <w:tcPr>
            <w:tcW w:w="1417" w:type="dxa"/>
          </w:tcPr>
          <w:p w14:paraId="29B214B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E7DEC8D" w14:textId="77777777" w:rsidTr="00D605B4">
        <w:tc>
          <w:tcPr>
            <w:tcW w:w="8217" w:type="dxa"/>
          </w:tcPr>
          <w:p w14:paraId="3AA8085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здійснюють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побутове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обслуговування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населення</w:t>
            </w:r>
            <w:proofErr w:type="spellEnd"/>
          </w:p>
        </w:tc>
        <w:tc>
          <w:tcPr>
            <w:tcW w:w="1417" w:type="dxa"/>
          </w:tcPr>
          <w:p w14:paraId="5B54C7B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A3F3451" w14:textId="77777777" w:rsidTr="00D605B4">
        <w:tc>
          <w:tcPr>
            <w:tcW w:w="8217" w:type="dxa"/>
          </w:tcPr>
          <w:p w14:paraId="1FE8C4D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вбиралень</w:t>
            </w:r>
            <w:proofErr w:type="spellEnd"/>
          </w:p>
        </w:tc>
        <w:tc>
          <w:tcPr>
            <w:tcW w:w="1417" w:type="dxa"/>
          </w:tcPr>
          <w:p w14:paraId="3FD49AB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49D459A" w14:textId="77777777" w:rsidTr="00D605B4">
        <w:tc>
          <w:tcPr>
            <w:tcW w:w="8217" w:type="dxa"/>
          </w:tcPr>
          <w:p w14:paraId="45C6F43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виставок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образотворчої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книжкової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продукції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виробленої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Україні</w:t>
            </w:r>
            <w:proofErr w:type="spellEnd"/>
          </w:p>
        </w:tc>
        <w:tc>
          <w:tcPr>
            <w:tcW w:w="1417" w:type="dxa"/>
          </w:tcPr>
          <w:p w14:paraId="7C93FEA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4DBD6411" w14:textId="77777777" w:rsidTr="00D605B4">
        <w:tc>
          <w:tcPr>
            <w:tcW w:w="8217" w:type="dxa"/>
          </w:tcPr>
          <w:p w14:paraId="3084056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14)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науково-практичних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мистецьких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суспільних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політичних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строк,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п’яти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календарних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протягом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шести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місяців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а також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щодо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майна, яке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передається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суб’єктам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виборчого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процесу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метою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публічних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зборів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дебатів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дискусій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час та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період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виборчої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кампанії</w:t>
            </w:r>
            <w:proofErr w:type="spellEnd"/>
          </w:p>
        </w:tc>
        <w:tc>
          <w:tcPr>
            <w:tcW w:w="1417" w:type="dxa"/>
          </w:tcPr>
          <w:p w14:paraId="53CF2B4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8</w:t>
            </w:r>
          </w:p>
        </w:tc>
      </w:tr>
      <w:tr w:rsidR="00D605B4" w:rsidRPr="00D605B4" w14:paraId="4F6F70EE" w14:textId="77777777" w:rsidTr="00D605B4">
        <w:tc>
          <w:tcPr>
            <w:tcW w:w="8217" w:type="dxa"/>
          </w:tcPr>
          <w:p w14:paraId="75B4CF5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15)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3484384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6</w:t>
            </w:r>
          </w:p>
        </w:tc>
      </w:tr>
      <w:tr w:rsidR="00D605B4" w:rsidRPr="00D605B4" w14:paraId="1E23E740" w14:textId="77777777" w:rsidTr="00D605B4">
        <w:tc>
          <w:tcPr>
            <w:tcW w:w="8217" w:type="dxa"/>
          </w:tcPr>
          <w:p w14:paraId="014C275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поштового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зв’язку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поштового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зв’язку</w:t>
            </w:r>
            <w:proofErr w:type="spellEnd"/>
          </w:p>
        </w:tc>
        <w:tc>
          <w:tcPr>
            <w:tcW w:w="1417" w:type="dxa"/>
          </w:tcPr>
          <w:p w14:paraId="618DF60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BA0FEC0" w14:textId="77777777" w:rsidTr="00D605B4">
        <w:tc>
          <w:tcPr>
            <w:tcW w:w="8217" w:type="dxa"/>
          </w:tcPr>
          <w:p w14:paraId="626B417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господарювання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перевезення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доставки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вручення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поштових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відправлень</w:t>
            </w:r>
            <w:proofErr w:type="spellEnd"/>
          </w:p>
        </w:tc>
        <w:tc>
          <w:tcPr>
            <w:tcW w:w="1417" w:type="dxa"/>
          </w:tcPr>
          <w:p w14:paraId="47BC3DF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B345283" w14:textId="77777777" w:rsidTr="00D605B4">
        <w:tc>
          <w:tcPr>
            <w:tcW w:w="8217" w:type="dxa"/>
          </w:tcPr>
          <w:p w14:paraId="0A59C81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кінотеатрів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бібліотек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театрів</w:t>
            </w:r>
            <w:proofErr w:type="spellEnd"/>
          </w:p>
        </w:tc>
        <w:tc>
          <w:tcPr>
            <w:tcW w:w="1417" w:type="dxa"/>
          </w:tcPr>
          <w:p w14:paraId="315D167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D6F6CA9" w14:textId="77777777" w:rsidTr="00D605B4">
        <w:tc>
          <w:tcPr>
            <w:tcW w:w="8217" w:type="dxa"/>
          </w:tcPr>
          <w:p w14:paraId="014E3FA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16)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31ED089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5</w:t>
            </w:r>
          </w:p>
        </w:tc>
      </w:tr>
      <w:tr w:rsidR="00D605B4" w:rsidRPr="00D605B4" w14:paraId="050DB212" w14:textId="77777777" w:rsidTr="00D605B4">
        <w:tc>
          <w:tcPr>
            <w:tcW w:w="8217" w:type="dxa"/>
          </w:tcPr>
          <w:p w14:paraId="66A872A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частково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рахунок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державного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бюджетів</w:t>
            </w:r>
            <w:proofErr w:type="spellEnd"/>
          </w:p>
        </w:tc>
        <w:tc>
          <w:tcPr>
            <w:tcW w:w="1417" w:type="dxa"/>
          </w:tcPr>
          <w:p w14:paraId="6742B45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F68815D" w14:textId="77777777" w:rsidTr="00D605B4">
        <w:tc>
          <w:tcPr>
            <w:tcW w:w="8217" w:type="dxa"/>
          </w:tcPr>
          <w:p w14:paraId="79751A0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торговельних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продажу книг, газет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журналів</w:t>
            </w:r>
            <w:proofErr w:type="spellEnd"/>
          </w:p>
        </w:tc>
        <w:tc>
          <w:tcPr>
            <w:tcW w:w="1417" w:type="dxa"/>
          </w:tcPr>
          <w:p w14:paraId="1C7569C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2BDBE2D" w14:textId="77777777" w:rsidTr="00D605B4">
        <w:tc>
          <w:tcPr>
            <w:tcW w:w="8217" w:type="dxa"/>
          </w:tcPr>
          <w:p w14:paraId="4737A6D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видавництв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друкованих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масової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інформації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видавничої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продукції</w:t>
            </w:r>
            <w:proofErr w:type="spellEnd"/>
          </w:p>
        </w:tc>
        <w:tc>
          <w:tcPr>
            <w:tcW w:w="1417" w:type="dxa"/>
          </w:tcPr>
          <w:p w14:paraId="3D08B96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4317FD9" w14:textId="77777777" w:rsidTr="00D605B4">
        <w:tc>
          <w:tcPr>
            <w:tcW w:w="8217" w:type="dxa"/>
          </w:tcPr>
          <w:p w14:paraId="14356D5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17)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майна:</w:t>
            </w:r>
          </w:p>
        </w:tc>
        <w:tc>
          <w:tcPr>
            <w:tcW w:w="1417" w:type="dxa"/>
          </w:tcPr>
          <w:p w14:paraId="60B03D6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</w:t>
            </w:r>
          </w:p>
        </w:tc>
      </w:tr>
      <w:tr w:rsidR="00D605B4" w:rsidRPr="00D605B4" w14:paraId="43584071" w14:textId="77777777" w:rsidTr="00D605B4">
        <w:tc>
          <w:tcPr>
            <w:tcW w:w="8217" w:type="dxa"/>
          </w:tcPr>
          <w:p w14:paraId="5A028E5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мистецтв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мистецтв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(у тому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числі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національними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творчими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спілками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їх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членами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творчі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17" w:type="dxa"/>
          </w:tcPr>
          <w:p w14:paraId="2F1B3F4D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3527C6E" w14:textId="77777777" w:rsidTr="00D605B4">
        <w:tc>
          <w:tcPr>
            <w:tcW w:w="8217" w:type="dxa"/>
          </w:tcPr>
          <w:p w14:paraId="2BAD163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видавництвами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книгорозповсюдження</w:t>
            </w:r>
            <w:proofErr w:type="spellEnd"/>
          </w:p>
        </w:tc>
        <w:tc>
          <w:tcPr>
            <w:tcW w:w="1417" w:type="dxa"/>
          </w:tcPr>
          <w:p w14:paraId="2A3A8D7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527256E" w14:textId="77777777" w:rsidTr="00D605B4">
        <w:tc>
          <w:tcPr>
            <w:tcW w:w="8217" w:type="dxa"/>
          </w:tcPr>
          <w:p w14:paraId="2E7C4C2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вітчизняними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видавництвами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книгорозповсюдження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забезпечують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підготовку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випуск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розповсюдження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менш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50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відсотків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книжкової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продукції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державною мовою (за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винятком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видань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рекламного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еротичного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характеру)</w:t>
            </w:r>
          </w:p>
        </w:tc>
        <w:tc>
          <w:tcPr>
            <w:tcW w:w="1417" w:type="dxa"/>
          </w:tcPr>
          <w:p w14:paraId="71820C8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093983D5" w14:textId="77777777" w:rsidTr="00D605B4">
        <w:tc>
          <w:tcPr>
            <w:tcW w:w="8217" w:type="dxa"/>
          </w:tcPr>
          <w:p w14:paraId="69D3C20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18)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7BC6806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5D753CAB" w14:textId="77777777" w:rsidTr="00D605B4">
        <w:tc>
          <w:tcPr>
            <w:tcW w:w="8217" w:type="dxa"/>
          </w:tcPr>
          <w:p w14:paraId="7E8338B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частково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державного бюджету,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бюджету,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відповідній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абзаці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третьому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підпункту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20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цього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пункту)</w:t>
            </w:r>
          </w:p>
        </w:tc>
        <w:tc>
          <w:tcPr>
            <w:tcW w:w="1417" w:type="dxa"/>
          </w:tcPr>
          <w:p w14:paraId="0B231F5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4D699345" w14:textId="77777777" w:rsidTr="00D605B4">
        <w:tc>
          <w:tcPr>
            <w:tcW w:w="8217" w:type="dxa"/>
          </w:tcPr>
          <w:p w14:paraId="75A5489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засновані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>об’єднаннями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отримують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держав 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членів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ЄС</w:t>
            </w:r>
          </w:p>
        </w:tc>
        <w:tc>
          <w:tcPr>
            <w:tcW w:w="1417" w:type="dxa"/>
          </w:tcPr>
          <w:p w14:paraId="60DE5B8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339D7AE" w14:textId="77777777" w:rsidTr="00D605B4">
        <w:tc>
          <w:tcPr>
            <w:tcW w:w="8217" w:type="dxa"/>
          </w:tcPr>
          <w:p w14:paraId="6643A05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приватних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загальної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середньої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освітньої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відповідній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1417" w:type="dxa"/>
          </w:tcPr>
          <w:p w14:paraId="4B6C425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4A517F37" w14:textId="77777777" w:rsidTr="00D605B4">
        <w:tc>
          <w:tcPr>
            <w:tcW w:w="8217" w:type="dxa"/>
          </w:tcPr>
          <w:p w14:paraId="2D13DA0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самоврядування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частково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рахунок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державного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бюджетів</w:t>
            </w:r>
            <w:proofErr w:type="spellEnd"/>
          </w:p>
        </w:tc>
        <w:tc>
          <w:tcPr>
            <w:tcW w:w="1417" w:type="dxa"/>
          </w:tcPr>
          <w:p w14:paraId="6DA0BBC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DA8E660" w14:textId="77777777" w:rsidTr="00D605B4">
        <w:tc>
          <w:tcPr>
            <w:tcW w:w="8217" w:type="dxa"/>
          </w:tcPr>
          <w:p w14:paraId="338A2F6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добровільних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об’єднань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самоврядування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у тому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числі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асоціацій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самоврядування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всеукраїнським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статусом</w:t>
            </w:r>
          </w:p>
        </w:tc>
        <w:tc>
          <w:tcPr>
            <w:tcW w:w="1417" w:type="dxa"/>
          </w:tcPr>
          <w:p w14:paraId="574A6F9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78AE7A3" w14:textId="77777777" w:rsidTr="00D605B4">
        <w:tc>
          <w:tcPr>
            <w:tcW w:w="8217" w:type="dxa"/>
          </w:tcPr>
          <w:p w14:paraId="339AD2E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музеїв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тих,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повністю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державного бюджету</w:t>
            </w:r>
          </w:p>
        </w:tc>
        <w:tc>
          <w:tcPr>
            <w:tcW w:w="1417" w:type="dxa"/>
          </w:tcPr>
          <w:p w14:paraId="5598F20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63748139" w14:textId="77777777" w:rsidTr="00D605B4">
        <w:tc>
          <w:tcPr>
            <w:tcW w:w="8217" w:type="dxa"/>
          </w:tcPr>
          <w:p w14:paraId="56E54F4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об’єднань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фізкультурно-спортивної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спрямованості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внесеними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Реєстру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утворених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ними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клубів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клубів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займаються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професійним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спортом),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дитячо-юнацьких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шкіл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шкіл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вищої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підготовки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студентського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спорту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вищої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спорту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внесеними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Реєстру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неприбуткових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виключно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заходів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фізкультурно-спортивних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1417" w:type="dxa"/>
          </w:tcPr>
          <w:p w14:paraId="361F225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7F9B8179" w14:textId="77777777" w:rsidTr="00D605B4">
        <w:tc>
          <w:tcPr>
            <w:tcW w:w="8217" w:type="dxa"/>
          </w:tcPr>
          <w:p w14:paraId="078E54F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клубів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дитячо-юнацьких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шкіл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шкіл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вищої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спортивної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підготовки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студентського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спорту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вищої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фізкультурно-оздоровчих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населення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культури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і спорту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а також баз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паралімпійської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дефлімпійської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підготовки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</w:t>
            </w:r>
            <w:hyperlink r:id="rId8" w:anchor="n49">
              <w:r w:rsidRPr="00D605B4">
                <w:rPr>
                  <w:rFonts w:ascii="Times New Roman" w:eastAsia="Times New Roman" w:hAnsi="Times New Roman" w:cs="Times New Roman"/>
                  <w:color w:val="006600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> </w:t>
              </w:r>
              <w:proofErr w:type="spellStart"/>
              <w:r w:rsidRPr="00D605B4">
                <w:rPr>
                  <w:rFonts w:ascii="Times New Roman" w:eastAsia="Times New Roman" w:hAnsi="Times New Roman" w:cs="Times New Roman"/>
                  <w:color w:val="006600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>пункті</w:t>
              </w:r>
              <w:proofErr w:type="spellEnd"/>
              <w:r w:rsidRPr="00D605B4">
                <w:rPr>
                  <w:rFonts w:ascii="Times New Roman" w:eastAsia="Times New Roman" w:hAnsi="Times New Roman" w:cs="Times New Roman"/>
                  <w:color w:val="006600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 xml:space="preserve"> 13</w:t>
              </w:r>
            </w:hyperlink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цієї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Методики)</w:t>
            </w:r>
          </w:p>
        </w:tc>
        <w:tc>
          <w:tcPr>
            <w:tcW w:w="1417" w:type="dxa"/>
          </w:tcPr>
          <w:p w14:paraId="7A5DE80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CD20441" w14:textId="77777777" w:rsidTr="00D605B4">
        <w:tc>
          <w:tcPr>
            <w:tcW w:w="8217" w:type="dxa"/>
          </w:tcPr>
          <w:p w14:paraId="0BC307D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казенних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некомерційних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утворилися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результаті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реорганізації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</w:p>
        </w:tc>
        <w:tc>
          <w:tcPr>
            <w:tcW w:w="1417" w:type="dxa"/>
          </w:tcPr>
          <w:p w14:paraId="54110AA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019727B" w14:textId="77777777" w:rsidTr="00D605B4">
        <w:tc>
          <w:tcPr>
            <w:tcW w:w="8217" w:type="dxa"/>
          </w:tcPr>
          <w:p w14:paraId="0FFA00D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дипломатичних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представництв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консульських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іноземних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представництв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міжнародних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договорів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плата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врегульована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міжнародними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 xml:space="preserve">договорами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згода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обов’язковість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Верховною Радою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17" w:type="dxa"/>
          </w:tcPr>
          <w:p w14:paraId="04FE052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C60A2AE" w14:textId="77777777" w:rsidTr="00D605B4">
        <w:tc>
          <w:tcPr>
            <w:tcW w:w="8217" w:type="dxa"/>
          </w:tcPr>
          <w:p w14:paraId="0B49981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19)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215BDE0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2</w:t>
            </w:r>
          </w:p>
        </w:tc>
      </w:tr>
      <w:tr w:rsidR="00D605B4" w:rsidRPr="00D605B4" w14:paraId="77C26116" w14:textId="77777777" w:rsidTr="00D605B4">
        <w:tc>
          <w:tcPr>
            <w:tcW w:w="8217" w:type="dxa"/>
          </w:tcPr>
          <w:p w14:paraId="024DD0A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архівних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частково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державного бюджету,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архівних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фінансуються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бюджету</w:t>
            </w:r>
          </w:p>
        </w:tc>
        <w:tc>
          <w:tcPr>
            <w:tcW w:w="1417" w:type="dxa"/>
          </w:tcPr>
          <w:p w14:paraId="7E49FED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6F61872" w14:textId="77777777" w:rsidTr="00D605B4">
        <w:tc>
          <w:tcPr>
            <w:tcW w:w="8217" w:type="dxa"/>
          </w:tcPr>
          <w:p w14:paraId="771377C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нагляду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особами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психічними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інтелектуальними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сенсорними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порушеннями</w:t>
            </w:r>
            <w:proofErr w:type="spellEnd"/>
          </w:p>
        </w:tc>
        <w:tc>
          <w:tcPr>
            <w:tcW w:w="1417" w:type="dxa"/>
          </w:tcPr>
          <w:p w14:paraId="40E832E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26F3592" w14:textId="77777777" w:rsidTr="00D605B4">
        <w:tc>
          <w:tcPr>
            <w:tcW w:w="8217" w:type="dxa"/>
          </w:tcPr>
          <w:p w14:paraId="4A14944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20)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1289FB0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</w:t>
            </w:r>
          </w:p>
        </w:tc>
      </w:tr>
      <w:tr w:rsidR="00D605B4" w:rsidRPr="00D605B4" w14:paraId="3F6C68DA" w14:textId="77777777" w:rsidTr="00D605B4">
        <w:tc>
          <w:tcPr>
            <w:tcW w:w="8217" w:type="dxa"/>
          </w:tcPr>
          <w:p w14:paraId="0F67049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надавачів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власності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17" w:type="dxa"/>
          </w:tcPr>
          <w:p w14:paraId="7E27296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1371B58" w14:textId="77777777" w:rsidTr="00D605B4">
        <w:tc>
          <w:tcPr>
            <w:tcW w:w="8217" w:type="dxa"/>
          </w:tcPr>
          <w:p w14:paraId="3CFF469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заснованих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будь-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формі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власності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суб’єктів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освітніх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дошкільної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освіти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ліцензійних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послуг</w:t>
            </w:r>
            <w:proofErr w:type="spellEnd"/>
          </w:p>
        </w:tc>
        <w:tc>
          <w:tcPr>
            <w:tcW w:w="1417" w:type="dxa"/>
          </w:tcPr>
          <w:p w14:paraId="2843EF1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50C6862" w14:textId="77777777" w:rsidTr="00D605B4">
        <w:tc>
          <w:tcPr>
            <w:tcW w:w="8217" w:type="dxa"/>
          </w:tcPr>
          <w:p w14:paraId="4A20D35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захисту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бездомних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громадян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безпритульних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тимчасового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постійного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перебування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громадян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похилого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</w:p>
        </w:tc>
        <w:tc>
          <w:tcPr>
            <w:tcW w:w="1417" w:type="dxa"/>
          </w:tcPr>
          <w:p w14:paraId="6858784F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784261B" w14:textId="77777777" w:rsidTr="00D605B4">
        <w:tc>
          <w:tcPr>
            <w:tcW w:w="8217" w:type="dxa"/>
          </w:tcPr>
          <w:p w14:paraId="680D50D7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обслуговування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сімей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молоді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утримуються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рахунок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бюджету,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зокрема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  <w:p w14:paraId="61E32EC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соціально-психологічної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реабілітації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</w:t>
            </w:r>
            <w:proofErr w:type="spellEnd"/>
          </w:p>
          <w:p w14:paraId="63859C7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гуртожитків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дітей-сиріт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позбавлених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батьківського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піклування</w:t>
            </w:r>
            <w:proofErr w:type="spellEnd"/>
          </w:p>
          <w:p w14:paraId="17D0993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матері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дитини</w:t>
            </w:r>
            <w:proofErr w:type="spellEnd"/>
          </w:p>
          <w:p w14:paraId="3891880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соціально-психологічної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допомоги</w:t>
            </w:r>
            <w:proofErr w:type="spellEnd"/>
          </w:p>
          <w:p w14:paraId="421B3F5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реабілітації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молоді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функціональними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обмеженнями</w:t>
            </w:r>
            <w:proofErr w:type="spellEnd"/>
          </w:p>
          <w:p w14:paraId="2A5ACB0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-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центрів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ВІЛ-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інфікованих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молоді</w:t>
            </w:r>
            <w:proofErr w:type="spellEnd"/>
          </w:p>
        </w:tc>
        <w:tc>
          <w:tcPr>
            <w:tcW w:w="1417" w:type="dxa"/>
          </w:tcPr>
          <w:p w14:paraId="782C534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F47CB09" w14:textId="77777777" w:rsidTr="00D605B4">
        <w:tc>
          <w:tcPr>
            <w:tcW w:w="8217" w:type="dxa"/>
          </w:tcPr>
          <w:p w14:paraId="03B6CD2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21)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уповноважених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Національним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банком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встановленому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законодавством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порядку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банків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володіє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часткою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статутного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капіталу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понад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75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відсотків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орендують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було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закріплене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Національним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банком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передане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сфери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управління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державних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власність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закріплене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господарського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Національним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 xml:space="preserve">банком,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цільовим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функціональним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призначенням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зберігання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запасів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готівки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Національного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банку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технологічних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процесів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щодо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готівкового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обігу</w:t>
            </w:r>
            <w:proofErr w:type="spellEnd"/>
          </w:p>
        </w:tc>
        <w:tc>
          <w:tcPr>
            <w:tcW w:w="1417" w:type="dxa"/>
          </w:tcPr>
          <w:p w14:paraId="16E80D0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>0,01</w:t>
            </w:r>
          </w:p>
        </w:tc>
      </w:tr>
      <w:tr w:rsidR="00D605B4" w:rsidRPr="00D605B4" w14:paraId="621309DF" w14:textId="77777777" w:rsidTr="00D605B4">
        <w:tc>
          <w:tcPr>
            <w:tcW w:w="8217" w:type="dxa"/>
          </w:tcPr>
          <w:p w14:paraId="6044F2C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22)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Товариства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Червоного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Хреста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його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</w:p>
        </w:tc>
        <w:tc>
          <w:tcPr>
            <w:tcW w:w="1417" w:type="dxa"/>
          </w:tcPr>
          <w:p w14:paraId="5022CCA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0,01</w:t>
            </w:r>
          </w:p>
        </w:tc>
      </w:tr>
      <w:tr w:rsidR="00D605B4" w:rsidRPr="00D605B4" w14:paraId="559D0315" w14:textId="77777777" w:rsidTr="00D605B4">
        <w:tc>
          <w:tcPr>
            <w:tcW w:w="8217" w:type="dxa"/>
          </w:tcPr>
          <w:p w14:paraId="0F6EA7F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23)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особами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метою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гаражі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спеціальних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засобів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пересування</w:t>
            </w:r>
            <w:proofErr w:type="spellEnd"/>
          </w:p>
        </w:tc>
        <w:tc>
          <w:tcPr>
            <w:tcW w:w="1417" w:type="dxa"/>
          </w:tcPr>
          <w:p w14:paraId="232ECDE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0,01</w:t>
            </w:r>
          </w:p>
        </w:tc>
      </w:tr>
      <w:tr w:rsidR="00D605B4" w:rsidRPr="00D605B4" w14:paraId="10AEBC38" w14:textId="77777777" w:rsidTr="00D605B4">
        <w:tc>
          <w:tcPr>
            <w:tcW w:w="8217" w:type="dxa"/>
          </w:tcPr>
          <w:p w14:paraId="038C2E6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24)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юридичними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фізичними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особами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облаштування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закладах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здоров’я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кімнат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відпочинку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сімейних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кімнат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)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перебування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них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безоплатній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основі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перебувають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лікуванні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цьому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закладі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членів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їх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сімей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час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лікування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таких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1417" w:type="dxa"/>
          </w:tcPr>
          <w:p w14:paraId="33DBC20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0,01</w:t>
            </w:r>
          </w:p>
        </w:tc>
      </w:tr>
      <w:tr w:rsidR="00D605B4" w:rsidRPr="00D605B4" w14:paraId="7B8A4140" w14:textId="77777777" w:rsidTr="00D605B4">
        <w:tc>
          <w:tcPr>
            <w:tcW w:w="8217" w:type="dxa"/>
          </w:tcPr>
          <w:p w14:paraId="1A775CA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25)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обрядів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церемоній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момент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  <w:hyperlink r:id="rId9">
              <w:r w:rsidRPr="00D605B4">
                <w:rPr>
                  <w:rFonts w:ascii="Times New Roman" w:eastAsia="Times New Roman" w:hAnsi="Times New Roman" w:cs="Times New Roman"/>
                  <w:color w:val="000099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 xml:space="preserve">Закону </w:t>
              </w:r>
              <w:proofErr w:type="spellStart"/>
              <w:r w:rsidRPr="00D605B4">
                <w:rPr>
                  <w:rFonts w:ascii="Times New Roman" w:eastAsia="Times New Roman" w:hAnsi="Times New Roman" w:cs="Times New Roman"/>
                  <w:color w:val="000099"/>
                  <w:kern w:val="0"/>
                  <w:sz w:val="28"/>
                  <w:szCs w:val="28"/>
                  <w:u w:val="single"/>
                  <w:lang w:val="ru" w:eastAsia="uk-UA"/>
                  <w14:ligatures w14:val="none"/>
                </w:rPr>
                <w:t>України</w:t>
              </w:r>
              <w:proofErr w:type="spellEnd"/>
            </w:hyperlink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 “Про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державного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комунального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майна”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безоплатно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використовували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підставі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договору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позички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договору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обрядів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церемоній</w:t>
            </w:r>
            <w:proofErr w:type="spellEnd"/>
          </w:p>
        </w:tc>
        <w:tc>
          <w:tcPr>
            <w:tcW w:w="1417" w:type="dxa"/>
          </w:tcPr>
          <w:p w14:paraId="70294D6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0,01</w:t>
            </w:r>
          </w:p>
        </w:tc>
      </w:tr>
      <w:tr w:rsidR="00D605B4" w:rsidRPr="00D605B4" w14:paraId="7DDDC929" w14:textId="77777777" w:rsidTr="00D605B4">
        <w:tc>
          <w:tcPr>
            <w:tcW w:w="8217" w:type="dxa"/>
          </w:tcPr>
          <w:p w14:paraId="01F62B5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26)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транспортних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підприємств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з:</w:t>
            </w:r>
          </w:p>
        </w:tc>
        <w:tc>
          <w:tcPr>
            <w:tcW w:w="1417" w:type="dxa"/>
          </w:tcPr>
          <w:p w14:paraId="5BE867AA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5C03655A" w14:textId="77777777" w:rsidTr="00D605B4">
        <w:tc>
          <w:tcPr>
            <w:tcW w:w="8217" w:type="dxa"/>
          </w:tcPr>
          <w:p w14:paraId="407B2A0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перевезення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пасажирів</w:t>
            </w:r>
            <w:proofErr w:type="spellEnd"/>
          </w:p>
        </w:tc>
        <w:tc>
          <w:tcPr>
            <w:tcW w:w="1417" w:type="dxa"/>
          </w:tcPr>
          <w:p w14:paraId="5007F30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15</w:t>
            </w:r>
          </w:p>
        </w:tc>
      </w:tr>
      <w:tr w:rsidR="00D605B4" w:rsidRPr="00D605B4" w14:paraId="3D25B5FB" w14:textId="77777777" w:rsidTr="00D605B4">
        <w:tc>
          <w:tcPr>
            <w:tcW w:w="8217" w:type="dxa"/>
          </w:tcPr>
          <w:p w14:paraId="095419AC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перевезення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вантажів</w:t>
            </w:r>
            <w:proofErr w:type="spellEnd"/>
          </w:p>
        </w:tc>
        <w:tc>
          <w:tcPr>
            <w:tcW w:w="1417" w:type="dxa"/>
          </w:tcPr>
          <w:p w14:paraId="7A69852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18</w:t>
            </w:r>
          </w:p>
        </w:tc>
      </w:tr>
      <w:tr w:rsidR="00D605B4" w:rsidRPr="00D605B4" w14:paraId="7CBF3415" w14:textId="77777777" w:rsidTr="00D605B4">
        <w:tc>
          <w:tcPr>
            <w:tcW w:w="8217" w:type="dxa"/>
          </w:tcPr>
          <w:p w14:paraId="6AC33A6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27)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творчих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спілок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творчих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майстерень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об’єднань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благодійних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релігійних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обрядів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церемоній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5EA50BB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38179791" w14:textId="77777777" w:rsidTr="00D605B4">
        <w:tc>
          <w:tcPr>
            <w:tcW w:w="8217" w:type="dxa"/>
          </w:tcPr>
          <w:p w14:paraId="4E3E0A3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50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3D1A616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4</w:t>
            </w:r>
          </w:p>
        </w:tc>
      </w:tr>
      <w:tr w:rsidR="00D605B4" w:rsidRPr="00D605B4" w14:paraId="09C8C9BB" w14:textId="77777777" w:rsidTr="00D605B4">
        <w:tc>
          <w:tcPr>
            <w:tcW w:w="8217" w:type="dxa"/>
          </w:tcPr>
          <w:p w14:paraId="7C1E65C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50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35333D7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2B382872" w14:textId="77777777" w:rsidTr="00D605B4">
        <w:tc>
          <w:tcPr>
            <w:tcW w:w="8217" w:type="dxa"/>
          </w:tcPr>
          <w:p w14:paraId="76EFCED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28)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приймальні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народного депутата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депутата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ради, у тому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числі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коли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імені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депутата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укладається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організацією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інтересах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депутата і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його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депутатської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приймальні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випадків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коли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інтересах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народного депутата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уповноважений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орган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Верховної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Ради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в такому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разі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застосовується</w:t>
            </w:r>
            <w:proofErr w:type="spellEnd"/>
            <w:r w:rsidRPr="00D605B4">
              <w:rPr>
                <w:rFonts w:ascii="Aptos" w:eastAsia="Aptos" w:hAnsi="Aptos" w:cs="Aptos"/>
                <w:kern w:val="0"/>
                <w:sz w:val="28"/>
                <w:szCs w:val="28"/>
                <w:lang w:val="ru" w:eastAsia="uk-UA"/>
                <w14:ligatures w14:val="none"/>
              </w:rPr>
              <w:fldChar w:fldCharType="begin"/>
            </w:r>
            <w:r w:rsidRPr="00D605B4">
              <w:rPr>
                <w:rFonts w:ascii="Aptos" w:eastAsia="Aptos" w:hAnsi="Aptos" w:cs="Aptos"/>
                <w:kern w:val="0"/>
                <w:sz w:val="28"/>
                <w:szCs w:val="28"/>
                <w:lang w:val="ru" w:eastAsia="uk-UA"/>
                <w14:ligatures w14:val="none"/>
              </w:rPr>
              <w:instrText>HYPERLINK "https://zakon.rada.gov.ua/laws/show/630-2021-%D0%BF" \l "n49" \h</w:instrText>
            </w:r>
            <w:r w:rsidRPr="00D605B4">
              <w:rPr>
                <w:rFonts w:ascii="Aptos" w:eastAsia="Aptos" w:hAnsi="Aptos" w:cs="Aptos"/>
                <w:kern w:val="0"/>
                <w:sz w:val="28"/>
                <w:szCs w:val="28"/>
                <w:lang w:val="ru" w:eastAsia="uk-UA"/>
                <w14:ligatures w14:val="none"/>
              </w:rPr>
            </w:r>
            <w:r w:rsidRPr="00D605B4">
              <w:rPr>
                <w:rFonts w:ascii="Aptos" w:eastAsia="Aptos" w:hAnsi="Aptos" w:cs="Aptos"/>
                <w:kern w:val="0"/>
                <w:sz w:val="28"/>
                <w:szCs w:val="28"/>
                <w:lang w:val="ru" w:eastAsia="uk-UA"/>
                <w14:ligatures w14:val="none"/>
              </w:rPr>
              <w:fldChar w:fldCharType="separate"/>
            </w:r>
            <w:r w:rsidRPr="00D605B4">
              <w:rPr>
                <w:rFonts w:ascii="Times New Roman" w:eastAsia="Times New Roman" w:hAnsi="Times New Roman" w:cs="Times New Roman"/>
                <w:color w:val="006600"/>
                <w:kern w:val="0"/>
                <w:sz w:val="28"/>
                <w:szCs w:val="28"/>
                <w:u w:val="single"/>
                <w:lang w:val="ru" w:eastAsia="uk-UA"/>
                <w14:ligatures w14:val="none"/>
              </w:rPr>
              <w:t> пункт 13</w:t>
            </w:r>
            <w:r w:rsidRPr="00D605B4">
              <w:rPr>
                <w:rFonts w:ascii="Aptos" w:eastAsia="Aptos" w:hAnsi="Aptos" w:cs="Aptos"/>
                <w:kern w:val="0"/>
                <w:sz w:val="28"/>
                <w:szCs w:val="28"/>
                <w:lang w:val="ru" w:eastAsia="uk-UA"/>
                <w14:ligatures w14:val="none"/>
              </w:rPr>
              <w:fldChar w:fldCharType="end"/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цієї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Методики):</w:t>
            </w:r>
          </w:p>
        </w:tc>
        <w:tc>
          <w:tcPr>
            <w:tcW w:w="1417" w:type="dxa"/>
          </w:tcPr>
          <w:p w14:paraId="68DE177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049E4EE" w14:textId="77777777" w:rsidTr="00D605B4">
        <w:tc>
          <w:tcPr>
            <w:tcW w:w="8217" w:type="dxa"/>
          </w:tcPr>
          <w:p w14:paraId="247477E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lastRenderedPageBreak/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50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2329A92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3</w:t>
            </w:r>
          </w:p>
        </w:tc>
      </w:tr>
      <w:tr w:rsidR="00D605B4" w:rsidRPr="00D605B4" w14:paraId="3F887257" w14:textId="77777777" w:rsidTr="00D605B4">
        <w:tc>
          <w:tcPr>
            <w:tcW w:w="8217" w:type="dxa"/>
          </w:tcPr>
          <w:p w14:paraId="7DE029B1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50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1BAC641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4FC5B08F" w14:textId="77777777" w:rsidTr="00D605B4">
        <w:tc>
          <w:tcPr>
            <w:tcW w:w="8217" w:type="dxa"/>
          </w:tcPr>
          <w:p w14:paraId="70973EF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29)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об’єднань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підприємницької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7558190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2844A8B2" w14:textId="77777777" w:rsidTr="00D605B4">
        <w:tc>
          <w:tcPr>
            <w:tcW w:w="8217" w:type="dxa"/>
          </w:tcPr>
          <w:p w14:paraId="6E1337A3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724A525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</w:t>
            </w:r>
          </w:p>
        </w:tc>
      </w:tr>
      <w:tr w:rsidR="00D605B4" w:rsidRPr="00D605B4" w14:paraId="74E4D73D" w14:textId="77777777" w:rsidTr="00D605B4">
        <w:tc>
          <w:tcPr>
            <w:tcW w:w="8217" w:type="dxa"/>
          </w:tcPr>
          <w:p w14:paraId="6D088236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7A7851B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46FBABF1" w14:textId="77777777" w:rsidTr="00D605B4">
        <w:tc>
          <w:tcPr>
            <w:tcW w:w="8217" w:type="dxa"/>
          </w:tcPr>
          <w:p w14:paraId="0A222AB0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30)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громадськими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організаціями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ветеранів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реабілітаційних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ветеранів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5BCC483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0C2F9F4C" w14:textId="77777777" w:rsidTr="00D605B4">
        <w:tc>
          <w:tcPr>
            <w:tcW w:w="8217" w:type="dxa"/>
          </w:tcPr>
          <w:p w14:paraId="4000125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5DCC92F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</w:t>
            </w:r>
          </w:p>
        </w:tc>
      </w:tr>
      <w:tr w:rsidR="00D605B4" w:rsidRPr="00D605B4" w14:paraId="044802A4" w14:textId="77777777" w:rsidTr="00D605B4">
        <w:tc>
          <w:tcPr>
            <w:tcW w:w="8217" w:type="dxa"/>
          </w:tcPr>
          <w:p w14:paraId="19FEE09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61FB6469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0228C03C" w14:textId="77777777" w:rsidTr="00D605B4">
        <w:tc>
          <w:tcPr>
            <w:tcW w:w="8217" w:type="dxa"/>
          </w:tcPr>
          <w:p w14:paraId="5999EFAB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31)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реабілітаційними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дітей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інвалідністю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таких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реабілітаційних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установ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:</w:t>
            </w:r>
          </w:p>
        </w:tc>
        <w:tc>
          <w:tcPr>
            <w:tcW w:w="1417" w:type="dxa"/>
          </w:tcPr>
          <w:p w14:paraId="018C65C4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</w:tr>
      <w:tr w:rsidR="00D605B4" w:rsidRPr="00D605B4" w14:paraId="1445B9DB" w14:textId="77777777" w:rsidTr="00D605B4">
        <w:tc>
          <w:tcPr>
            <w:tcW w:w="8217" w:type="dxa"/>
          </w:tcPr>
          <w:p w14:paraId="706381D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як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3478AB05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</w:t>
            </w:r>
          </w:p>
        </w:tc>
      </w:tr>
      <w:tr w:rsidR="00D605B4" w:rsidRPr="00D605B4" w14:paraId="7B0A1A1F" w14:textId="77777777" w:rsidTr="00D605B4">
        <w:tc>
          <w:tcPr>
            <w:tcW w:w="8217" w:type="dxa"/>
          </w:tcPr>
          <w:p w14:paraId="51F7D4A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частині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перевищує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100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417" w:type="dxa"/>
          </w:tcPr>
          <w:p w14:paraId="2BA52F08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7</w:t>
            </w:r>
          </w:p>
        </w:tc>
      </w:tr>
      <w:tr w:rsidR="00D605B4" w:rsidRPr="00D605B4" w14:paraId="4D4172FE" w14:textId="77777777" w:rsidTr="00D605B4">
        <w:tc>
          <w:tcPr>
            <w:tcW w:w="8217" w:type="dxa"/>
          </w:tcPr>
          <w:p w14:paraId="4D991DC2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32)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інше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використання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нерухомого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майна</w:t>
            </w:r>
          </w:p>
        </w:tc>
        <w:tc>
          <w:tcPr>
            <w:tcW w:w="1417" w:type="dxa"/>
          </w:tcPr>
          <w:p w14:paraId="0617771E" w14:textId="77777777" w:rsidR="00D605B4" w:rsidRPr="00D605B4" w:rsidRDefault="00D605B4" w:rsidP="00D605B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15</w:t>
            </w:r>
          </w:p>
        </w:tc>
      </w:tr>
    </w:tbl>
    <w:p w14:paraId="62E563D8" w14:textId="77777777" w:rsidR="00D605B4" w:rsidRPr="00D605B4" w:rsidRDefault="00D605B4" w:rsidP="00D605B4">
      <w:pPr>
        <w:keepNext/>
        <w:keepLine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</w:p>
    <w:p w14:paraId="1534530D" w14:textId="77777777" w:rsidR="00D605B4" w:rsidRPr="00D605B4" w:rsidRDefault="00D605B4" w:rsidP="00D605B4">
      <w:pPr>
        <w:keepNext/>
        <w:keepLine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</w:p>
    <w:p w14:paraId="1362DDB0" w14:textId="77777777" w:rsidR="00D605B4" w:rsidRPr="00D605B4" w:rsidRDefault="00D605B4" w:rsidP="00D605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uk-UA"/>
          <w14:ligatures w14:val="none"/>
        </w:rPr>
      </w:pPr>
    </w:p>
    <w:p w14:paraId="52DF52BF" w14:textId="77777777" w:rsidR="00D605B4" w:rsidRPr="00D605B4" w:rsidRDefault="00D605B4" w:rsidP="00D605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" w:eastAsia="uk-UA"/>
          <w14:ligatures w14:val="none"/>
        </w:rPr>
      </w:pPr>
    </w:p>
    <w:p w14:paraId="5C7650DC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val="ru" w:eastAsia="uk-UA"/>
          <w14:ligatures w14:val="none"/>
        </w:rPr>
      </w:pPr>
    </w:p>
    <w:p w14:paraId="42090234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val="ru" w:eastAsia="uk-UA"/>
          <w14:ligatures w14:val="none"/>
        </w:rPr>
      </w:pPr>
    </w:p>
    <w:p w14:paraId="6EA66F83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val="ru" w:eastAsia="uk-UA"/>
          <w14:ligatures w14:val="none"/>
        </w:rPr>
      </w:pPr>
    </w:p>
    <w:p w14:paraId="0210E0A4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eastAsia="uk-UA"/>
          <w14:ligatures w14:val="none"/>
        </w:rPr>
      </w:pPr>
    </w:p>
    <w:p w14:paraId="5C86A45B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eastAsia="uk-UA"/>
          <w14:ligatures w14:val="none"/>
        </w:rPr>
      </w:pPr>
    </w:p>
    <w:p w14:paraId="345C1A6B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eastAsia="uk-UA"/>
          <w14:ligatures w14:val="none"/>
        </w:rPr>
      </w:pPr>
    </w:p>
    <w:p w14:paraId="4C6E3FCE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eastAsia="uk-UA"/>
          <w14:ligatures w14:val="none"/>
        </w:rPr>
      </w:pPr>
    </w:p>
    <w:p w14:paraId="3C929FDF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eastAsia="uk-UA"/>
          <w14:ligatures w14:val="none"/>
        </w:rPr>
      </w:pPr>
    </w:p>
    <w:p w14:paraId="600C0647" w14:textId="77777777" w:rsidR="00D605B4" w:rsidRPr="00D605B4" w:rsidRDefault="00D605B4" w:rsidP="00D605B4">
      <w:pPr>
        <w:rPr>
          <w:rFonts w:ascii="Calibri" w:eastAsia="Calibri" w:hAnsi="Calibri" w:cs="Calibri"/>
          <w:kern w:val="0"/>
          <w:lang w:eastAsia="uk-UA"/>
          <w14:ligatures w14:val="none"/>
        </w:rPr>
      </w:pPr>
    </w:p>
    <w:p w14:paraId="07F71E9B" w14:textId="0AD818C3" w:rsidR="00D605B4" w:rsidRPr="00D605B4" w:rsidRDefault="00D605B4" w:rsidP="00D605B4">
      <w:pPr>
        <w:keepNext/>
        <w:keepLine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lastRenderedPageBreak/>
        <w:t>Додаток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t xml:space="preserve"> 3 </w:t>
      </w:r>
      <w:r w:rsidRPr="00D605B4">
        <w:rPr>
          <w:rFonts w:ascii="Times New Roman" w:eastAsia="Times New Roman" w:hAnsi="Times New Roman" w:cs="Times New Roman"/>
          <w:kern w:val="0"/>
          <w:sz w:val="20"/>
          <w:szCs w:val="20"/>
          <w:lang w:val="ru" w:eastAsia="uk-UA"/>
          <w14:ligatures w14:val="none"/>
        </w:rPr>
        <w:br/>
        <w:t xml:space="preserve">до Методики </w:t>
      </w:r>
    </w:p>
    <w:p w14:paraId="2E5DC2ED" w14:textId="77777777" w:rsidR="00D605B4" w:rsidRPr="00D605B4" w:rsidRDefault="00D605B4" w:rsidP="00D605B4">
      <w:pPr>
        <w:keepNext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val="ru" w:eastAsia="uk-UA"/>
          <w14:ligatures w14:val="none"/>
        </w:rPr>
      </w:pPr>
    </w:p>
    <w:p w14:paraId="5E0BD4CA" w14:textId="77777777" w:rsidR="00D605B4" w:rsidRPr="00D605B4" w:rsidRDefault="00D605B4" w:rsidP="00D605B4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" w:eastAsia="uk-UA"/>
          <w14:ligatures w14:val="none"/>
        </w:rPr>
        <w:t>РОЗРАХУНОК</w:t>
      </w:r>
      <w:r w:rsidRPr="00D60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" w:eastAsia="uk-UA"/>
          <w14:ligatures w14:val="none"/>
        </w:rPr>
        <w:br/>
      </w:r>
      <w:proofErr w:type="spellStart"/>
      <w:r w:rsidRPr="00D60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" w:eastAsia="uk-UA"/>
          <w14:ligatures w14:val="none"/>
        </w:rPr>
        <w:t>місяць</w:t>
      </w:r>
      <w:proofErr w:type="spellEnd"/>
    </w:p>
    <w:p w14:paraId="06EF294B" w14:textId="77777777" w:rsidR="00D605B4" w:rsidRPr="00D605B4" w:rsidRDefault="00D605B4" w:rsidP="00D605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перебуває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____________________________________________________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     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найменування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</w:t>
      </w:r>
    </w:p>
    <w:p w14:paraId="200FE8E8" w14:textId="77777777" w:rsidR="00D605B4" w:rsidRPr="00D605B4" w:rsidRDefault="00D605B4" w:rsidP="00D60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</w:p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2266"/>
        <w:gridCol w:w="1067"/>
        <w:gridCol w:w="1577"/>
        <w:gridCol w:w="1224"/>
        <w:gridCol w:w="1012"/>
        <w:gridCol w:w="1488"/>
      </w:tblGrid>
      <w:tr w:rsidR="00D605B4" w:rsidRPr="00D605B4" w14:paraId="49DFD915" w14:textId="77777777" w:rsidTr="006706DA">
        <w:trPr>
          <w:jc w:val="center"/>
        </w:trPr>
        <w:tc>
          <w:tcPr>
            <w:tcW w:w="1574" w:type="dxa"/>
            <w:vMerge w:val="restart"/>
            <w:vAlign w:val="center"/>
          </w:tcPr>
          <w:p w14:paraId="1D66CAC6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Порядковий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номер </w:t>
            </w:r>
          </w:p>
        </w:tc>
        <w:tc>
          <w:tcPr>
            <w:tcW w:w="2266" w:type="dxa"/>
            <w:vMerge w:val="restart"/>
            <w:vAlign w:val="center"/>
          </w:tcPr>
          <w:p w14:paraId="0B7DD424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Назва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місцезнаходження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оренди</w:t>
            </w:r>
            <w:proofErr w:type="spellEnd"/>
          </w:p>
        </w:tc>
        <w:tc>
          <w:tcPr>
            <w:tcW w:w="1067" w:type="dxa"/>
            <w:vMerge w:val="restart"/>
            <w:vAlign w:val="center"/>
          </w:tcPr>
          <w:p w14:paraId="7540241E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Площа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кв.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метрів</w:t>
            </w:r>
            <w:proofErr w:type="spellEnd"/>
          </w:p>
        </w:tc>
        <w:tc>
          <w:tcPr>
            <w:tcW w:w="1577" w:type="dxa"/>
            <w:vMerge w:val="restart"/>
            <w:vAlign w:val="center"/>
          </w:tcPr>
          <w:p w14:paraId="38B69832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об’єкта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</w:p>
          <w:p w14:paraId="4FF99566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незалежною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оцінкою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</w:t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br/>
              <w:t>___ ____</w:t>
            </w:r>
          </w:p>
          <w:p w14:paraId="34E53EBA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20___ року</w:t>
            </w:r>
          </w:p>
        </w:tc>
        <w:tc>
          <w:tcPr>
            <w:tcW w:w="1224" w:type="dxa"/>
            <w:vMerge w:val="restart"/>
            <w:vAlign w:val="center"/>
          </w:tcPr>
          <w:p w14:paraId="59A422C9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ставка*,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відсотків</w:t>
            </w:r>
            <w:proofErr w:type="spellEnd"/>
          </w:p>
        </w:tc>
        <w:tc>
          <w:tcPr>
            <w:tcW w:w="2500" w:type="dxa"/>
            <w:gridSpan w:val="2"/>
            <w:vAlign w:val="center"/>
          </w:tcPr>
          <w:p w14:paraId="08D76239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плата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базовий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місяць</w:t>
            </w:r>
            <w:proofErr w:type="spellEnd"/>
          </w:p>
        </w:tc>
      </w:tr>
      <w:tr w:rsidR="00D605B4" w:rsidRPr="00D605B4" w14:paraId="3FEB278F" w14:textId="77777777" w:rsidTr="006706DA">
        <w:trPr>
          <w:jc w:val="center"/>
        </w:trPr>
        <w:tc>
          <w:tcPr>
            <w:tcW w:w="1574" w:type="dxa"/>
            <w:vMerge/>
            <w:vAlign w:val="center"/>
          </w:tcPr>
          <w:p w14:paraId="2B97D332" w14:textId="77777777" w:rsidR="00D605B4" w:rsidRPr="00D605B4" w:rsidRDefault="00D605B4" w:rsidP="00D60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  <w:tc>
          <w:tcPr>
            <w:tcW w:w="2266" w:type="dxa"/>
            <w:vMerge/>
            <w:vAlign w:val="center"/>
          </w:tcPr>
          <w:p w14:paraId="7A8DF376" w14:textId="77777777" w:rsidR="00D605B4" w:rsidRPr="00D605B4" w:rsidRDefault="00D605B4" w:rsidP="00D60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  <w:tc>
          <w:tcPr>
            <w:tcW w:w="1067" w:type="dxa"/>
            <w:vMerge/>
            <w:vAlign w:val="center"/>
          </w:tcPr>
          <w:p w14:paraId="32C1EEF4" w14:textId="77777777" w:rsidR="00D605B4" w:rsidRPr="00D605B4" w:rsidRDefault="00D605B4" w:rsidP="00D60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  <w:tc>
          <w:tcPr>
            <w:tcW w:w="1577" w:type="dxa"/>
            <w:vMerge/>
            <w:vAlign w:val="center"/>
          </w:tcPr>
          <w:p w14:paraId="54F8CE7F" w14:textId="77777777" w:rsidR="00D605B4" w:rsidRPr="00D605B4" w:rsidRDefault="00D605B4" w:rsidP="00D60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  <w:tc>
          <w:tcPr>
            <w:tcW w:w="1224" w:type="dxa"/>
            <w:vMerge/>
            <w:vAlign w:val="center"/>
          </w:tcPr>
          <w:p w14:paraId="6816BF64" w14:textId="77777777" w:rsidR="00D605B4" w:rsidRPr="00D605B4" w:rsidRDefault="00D605B4" w:rsidP="00D60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</w:p>
        </w:tc>
        <w:tc>
          <w:tcPr>
            <w:tcW w:w="1012" w:type="dxa"/>
            <w:vAlign w:val="center"/>
          </w:tcPr>
          <w:p w14:paraId="4BB956B0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назва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місяця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рік</w:t>
            </w:r>
            <w:proofErr w:type="spellEnd"/>
          </w:p>
        </w:tc>
        <w:tc>
          <w:tcPr>
            <w:tcW w:w="1488" w:type="dxa"/>
            <w:vAlign w:val="center"/>
          </w:tcPr>
          <w:p w14:paraId="203F8557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плата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урахування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**, гривень</w:t>
            </w:r>
          </w:p>
        </w:tc>
      </w:tr>
    </w:tbl>
    <w:p w14:paraId="3B596155" w14:textId="77777777" w:rsidR="00D605B4" w:rsidRPr="00D605B4" w:rsidRDefault="00D605B4" w:rsidP="00D605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</w:p>
    <w:p w14:paraId="6EF7BF2F" w14:textId="77777777" w:rsidR="00D605B4" w:rsidRPr="00D605B4" w:rsidRDefault="00D605B4" w:rsidP="00D605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________</w:t>
      </w:r>
    </w:p>
    <w:p w14:paraId="316E6EF4" w14:textId="77777777" w:rsidR="00D605B4" w:rsidRPr="00D605B4" w:rsidRDefault="00D605B4" w:rsidP="00D605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*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ставка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цільового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призначення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додатками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2 до Методики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розрахунку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власності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Великодимерської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селищної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територіальної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громади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74A34A4C" w14:textId="77777777" w:rsidR="00D605B4" w:rsidRPr="00D605B4" w:rsidRDefault="00D605B4" w:rsidP="00D605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**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Оподаткування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здійснюється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законодавства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>.</w:t>
      </w:r>
    </w:p>
    <w:p w14:paraId="376646A3" w14:textId="77777777" w:rsidR="00D605B4" w:rsidRPr="00D605B4" w:rsidRDefault="00D605B4" w:rsidP="00D60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69B0ACF6" w14:textId="77777777" w:rsidR="00D605B4" w:rsidRPr="00D605B4" w:rsidRDefault="00D605B4" w:rsidP="00D60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tbl>
      <w:tblPr>
        <w:tblW w:w="9585" w:type="dxa"/>
        <w:tblLayout w:type="fixed"/>
        <w:tblLook w:val="0400" w:firstRow="0" w:lastRow="0" w:firstColumn="0" w:lastColumn="0" w:noHBand="0" w:noVBand="1"/>
      </w:tblPr>
      <w:tblGrid>
        <w:gridCol w:w="3170"/>
        <w:gridCol w:w="2585"/>
        <w:gridCol w:w="3830"/>
      </w:tblGrid>
      <w:tr w:rsidR="00D605B4" w:rsidRPr="00D605B4" w14:paraId="2F55E547" w14:textId="77777777" w:rsidTr="006706DA">
        <w:tc>
          <w:tcPr>
            <w:tcW w:w="3170" w:type="dxa"/>
          </w:tcPr>
          <w:p w14:paraId="39E839BA" w14:textId="77777777" w:rsidR="00D605B4" w:rsidRPr="00D605B4" w:rsidRDefault="00D605B4" w:rsidP="00D605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Уповноважена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особа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орендаря</w:t>
            </w:r>
            <w:proofErr w:type="spellEnd"/>
          </w:p>
        </w:tc>
        <w:tc>
          <w:tcPr>
            <w:tcW w:w="2585" w:type="dxa"/>
          </w:tcPr>
          <w:p w14:paraId="1CFB5EAD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___________</w:t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br/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підпис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3830" w:type="dxa"/>
          </w:tcPr>
          <w:p w14:paraId="726BDEF9" w14:textId="77777777" w:rsidR="00D605B4" w:rsidRPr="00D605B4" w:rsidRDefault="00D605B4" w:rsidP="00D605B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_________________________</w:t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br/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прізвище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ім’я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по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батькові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наявності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</w:tr>
      <w:tr w:rsidR="00D605B4" w:rsidRPr="00D605B4" w14:paraId="5EE9D044" w14:textId="77777777" w:rsidTr="006706DA">
        <w:tc>
          <w:tcPr>
            <w:tcW w:w="3170" w:type="dxa"/>
          </w:tcPr>
          <w:p w14:paraId="0D49A126" w14:textId="77777777" w:rsidR="00D605B4" w:rsidRPr="00D605B4" w:rsidRDefault="00D605B4" w:rsidP="00D605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МП (у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разі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наявності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</w:t>
            </w:r>
          </w:p>
        </w:tc>
        <w:tc>
          <w:tcPr>
            <w:tcW w:w="2585" w:type="dxa"/>
          </w:tcPr>
          <w:p w14:paraId="5CB7E5CD" w14:textId="77777777" w:rsidR="00D605B4" w:rsidRPr="00D605B4" w:rsidRDefault="00D605B4" w:rsidP="00D605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</w:p>
        </w:tc>
        <w:tc>
          <w:tcPr>
            <w:tcW w:w="3830" w:type="dxa"/>
          </w:tcPr>
          <w:p w14:paraId="15F7CFC1" w14:textId="77777777" w:rsidR="00D605B4" w:rsidRPr="00D605B4" w:rsidRDefault="00D605B4" w:rsidP="00D605B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</w:p>
        </w:tc>
      </w:tr>
    </w:tbl>
    <w:p w14:paraId="300E0F03" w14:textId="737238C5" w:rsidR="00D605B4" w:rsidRPr="00D605B4" w:rsidRDefault="00D605B4" w:rsidP="005820A1">
      <w:pPr>
        <w:keepNext/>
        <w:spacing w:before="48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_____________________</w:t>
      </w:r>
    </w:p>
    <w:p w14:paraId="2662BCA2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</w:pPr>
    </w:p>
    <w:p w14:paraId="34EB64D3" w14:textId="77777777" w:rsidR="00D605B4" w:rsidRPr="00D605B4" w:rsidRDefault="00D605B4" w:rsidP="00D60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</w:pPr>
    </w:p>
    <w:sectPr w:rsidR="00D605B4" w:rsidRPr="00D605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6F6"/>
    <w:multiLevelType w:val="multilevel"/>
    <w:tmpl w:val="7974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B0130"/>
    <w:multiLevelType w:val="multilevel"/>
    <w:tmpl w:val="65F006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C32D1A"/>
    <w:multiLevelType w:val="multilevel"/>
    <w:tmpl w:val="E8C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225BA"/>
    <w:multiLevelType w:val="multilevel"/>
    <w:tmpl w:val="1AC43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8A0C25"/>
    <w:multiLevelType w:val="multilevel"/>
    <w:tmpl w:val="4612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E4347"/>
    <w:multiLevelType w:val="multilevel"/>
    <w:tmpl w:val="6F2093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4529B4"/>
    <w:multiLevelType w:val="multilevel"/>
    <w:tmpl w:val="387095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D8A21D1"/>
    <w:multiLevelType w:val="multilevel"/>
    <w:tmpl w:val="EC7E1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46A27"/>
    <w:multiLevelType w:val="multilevel"/>
    <w:tmpl w:val="4CDC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E3B4E"/>
    <w:multiLevelType w:val="multilevel"/>
    <w:tmpl w:val="CB2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517545">
    <w:abstractNumId w:val="1"/>
  </w:num>
  <w:num w:numId="2" w16cid:durableId="1152675982">
    <w:abstractNumId w:val="5"/>
  </w:num>
  <w:num w:numId="3" w16cid:durableId="1337341051">
    <w:abstractNumId w:val="3"/>
  </w:num>
  <w:num w:numId="4" w16cid:durableId="961427239">
    <w:abstractNumId w:val="6"/>
  </w:num>
  <w:num w:numId="5" w16cid:durableId="1895508789">
    <w:abstractNumId w:val="8"/>
  </w:num>
  <w:num w:numId="6" w16cid:durableId="2080979590">
    <w:abstractNumId w:val="4"/>
  </w:num>
  <w:num w:numId="7" w16cid:durableId="1207446945">
    <w:abstractNumId w:val="7"/>
    <w:lvlOverride w:ilvl="0">
      <w:lvl w:ilvl="0">
        <w:numFmt w:val="decimal"/>
        <w:lvlText w:val="%1."/>
        <w:lvlJc w:val="left"/>
      </w:lvl>
    </w:lvlOverride>
  </w:num>
  <w:num w:numId="8" w16cid:durableId="822431115">
    <w:abstractNumId w:val="9"/>
  </w:num>
  <w:num w:numId="9" w16cid:durableId="1007906152">
    <w:abstractNumId w:val="0"/>
  </w:num>
  <w:num w:numId="10" w16cid:durableId="27101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B4"/>
    <w:rsid w:val="00174D3E"/>
    <w:rsid w:val="003662AC"/>
    <w:rsid w:val="00442DBF"/>
    <w:rsid w:val="005820A1"/>
    <w:rsid w:val="006225AD"/>
    <w:rsid w:val="008F4838"/>
    <w:rsid w:val="00D605B4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50FC"/>
  <w15:chartTrackingRefBased/>
  <w15:docId w15:val="{6A2358BD-34A9-497D-9B51-F99E3466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5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5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5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5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5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5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5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6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60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60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60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B4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D605B4"/>
  </w:style>
  <w:style w:type="table" w:customStyle="1" w:styleId="TableNormal">
    <w:name w:val="TableNormal"/>
    <w:rsid w:val="00D605B4"/>
    <w:rPr>
      <w:rFonts w:ascii="Aptos" w:eastAsia="Aptos" w:hAnsi="Aptos" w:cs="Aptos"/>
      <w:kern w:val="0"/>
      <w:lang w:val="ru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605B4"/>
    <w:rPr>
      <w:rFonts w:ascii="Aptos" w:eastAsia="Aptos" w:hAnsi="Aptos" w:cs="Aptos"/>
      <w:kern w:val="0"/>
      <w:lang w:val="ru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605B4"/>
  </w:style>
  <w:style w:type="table" w:customStyle="1" w:styleId="TableNormal1">
    <w:name w:val="Table Normal1"/>
    <w:rsid w:val="00D605B4"/>
    <w:rPr>
      <w:rFonts w:ascii="Calibri" w:eastAsia="Calibri" w:hAnsi="Calibri" w:cs="Calibri"/>
      <w:kern w:val="0"/>
      <w:lang w:val="ru-RU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rsid w:val="00D6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rvps12">
    <w:name w:val="rvps12"/>
    <w:rsid w:val="00D6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e">
    <w:name w:val="No Spacing"/>
    <w:uiPriority w:val="1"/>
    <w:qFormat/>
    <w:rsid w:val="00D605B4"/>
    <w:pPr>
      <w:spacing w:after="0" w:line="240" w:lineRule="auto"/>
    </w:pPr>
    <w:rPr>
      <w:rFonts w:ascii="Calibri" w:eastAsia="Calibri" w:hAnsi="Calibri" w:cs="Calibri"/>
      <w:kern w:val="0"/>
      <w:lang w:val="ru-RU" w:eastAsia="uk-UA"/>
      <w14:ligatures w14:val="none"/>
    </w:rPr>
  </w:style>
  <w:style w:type="character" w:customStyle="1" w:styleId="13">
    <w:name w:val="Сильное выделение1"/>
    <w:basedOn w:val="a0"/>
    <w:uiPriority w:val="21"/>
    <w:qFormat/>
    <w:rsid w:val="00D605B4"/>
    <w:rPr>
      <w:i/>
      <w:iCs/>
      <w:color w:val="5B9BD5"/>
    </w:rPr>
  </w:style>
  <w:style w:type="paragraph" w:styleId="af">
    <w:name w:val="Balloon Text"/>
    <w:link w:val="af0"/>
    <w:uiPriority w:val="99"/>
    <w:semiHidden/>
    <w:unhideWhenUsed/>
    <w:rsid w:val="00D605B4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val="ru-RU" w:eastAsia="uk-UA"/>
      <w14:ligatures w14:val="none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605B4"/>
    <w:rPr>
      <w:rFonts w:ascii="Segoe UI" w:eastAsia="Calibri" w:hAnsi="Segoe UI" w:cs="Segoe UI"/>
      <w:kern w:val="0"/>
      <w:sz w:val="18"/>
      <w:szCs w:val="18"/>
      <w:lang w:val="ru-RU" w:eastAsia="uk-UA"/>
      <w14:ligatures w14:val="none"/>
    </w:rPr>
  </w:style>
  <w:style w:type="numbering" w:customStyle="1" w:styleId="21">
    <w:name w:val="Нет списка2"/>
    <w:next w:val="a2"/>
    <w:uiPriority w:val="99"/>
    <w:semiHidden/>
    <w:unhideWhenUsed/>
    <w:rsid w:val="00D605B4"/>
  </w:style>
  <w:style w:type="table" w:customStyle="1" w:styleId="14">
    <w:name w:val="Сетка таблицы1"/>
    <w:basedOn w:val="a1"/>
    <w:next w:val="af1"/>
    <w:uiPriority w:val="59"/>
    <w:rsid w:val="00D605B4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rmal (Web)"/>
    <w:unhideWhenUsed/>
    <w:rsid w:val="00D6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Strong"/>
    <w:basedOn w:val="a0"/>
    <w:qFormat/>
    <w:rsid w:val="00D605B4"/>
    <w:rPr>
      <w:b/>
      <w:bCs/>
    </w:rPr>
  </w:style>
  <w:style w:type="paragraph" w:customStyle="1" w:styleId="rvps14">
    <w:name w:val="rvps14"/>
    <w:rsid w:val="00D6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" w:eastAsia="uk-UA"/>
      <w14:ligatures w14:val="none"/>
    </w:rPr>
  </w:style>
  <w:style w:type="character" w:customStyle="1" w:styleId="22">
    <w:name w:val="Стиль2"/>
    <w:basedOn w:val="af4"/>
    <w:rsid w:val="00D605B4"/>
  </w:style>
  <w:style w:type="character" w:styleId="af4">
    <w:name w:val="line number"/>
    <w:basedOn w:val="a0"/>
    <w:uiPriority w:val="99"/>
    <w:semiHidden/>
    <w:unhideWhenUsed/>
    <w:rsid w:val="00D605B4"/>
  </w:style>
  <w:style w:type="paragraph" w:customStyle="1" w:styleId="15">
    <w:name w:val="Верхний колонтитул1"/>
    <w:next w:val="af5"/>
    <w:link w:val="af6"/>
    <w:uiPriority w:val="99"/>
    <w:unhideWhenUsed/>
    <w:rsid w:val="00D605B4"/>
    <w:pPr>
      <w:tabs>
        <w:tab w:val="center" w:pos="4677"/>
        <w:tab w:val="right" w:pos="9355"/>
      </w:tabs>
      <w:spacing w:after="0" w:line="240" w:lineRule="auto"/>
    </w:pPr>
    <w:rPr>
      <w:rFonts w:ascii="Aptos" w:eastAsia="Aptos" w:hAnsi="Aptos" w:cs="Aptos"/>
      <w:kern w:val="0"/>
      <w:lang w:val="ru" w:eastAsia="uk-UA"/>
      <w14:ligatures w14:val="none"/>
    </w:rPr>
  </w:style>
  <w:style w:type="character" w:customStyle="1" w:styleId="af6">
    <w:name w:val="Верхний колонтитул Знак"/>
    <w:basedOn w:val="a0"/>
    <w:link w:val="15"/>
    <w:uiPriority w:val="99"/>
    <w:rsid w:val="00D605B4"/>
    <w:rPr>
      <w:rFonts w:ascii="Aptos" w:eastAsia="Aptos" w:hAnsi="Aptos" w:cs="Aptos"/>
      <w:kern w:val="0"/>
      <w:lang w:val="ru" w:eastAsia="uk-UA"/>
      <w14:ligatures w14:val="none"/>
    </w:rPr>
  </w:style>
  <w:style w:type="paragraph" w:customStyle="1" w:styleId="16">
    <w:name w:val="Нижний колонтитул1"/>
    <w:next w:val="af7"/>
    <w:link w:val="af8"/>
    <w:uiPriority w:val="99"/>
    <w:unhideWhenUsed/>
    <w:rsid w:val="00D605B4"/>
    <w:pPr>
      <w:tabs>
        <w:tab w:val="center" w:pos="4677"/>
        <w:tab w:val="right" w:pos="9355"/>
      </w:tabs>
      <w:spacing w:after="0" w:line="240" w:lineRule="auto"/>
    </w:pPr>
    <w:rPr>
      <w:rFonts w:ascii="Aptos" w:eastAsia="Aptos" w:hAnsi="Aptos" w:cs="Aptos"/>
      <w:kern w:val="0"/>
      <w:lang w:val="ru" w:eastAsia="uk-UA"/>
      <w14:ligatures w14:val="none"/>
    </w:rPr>
  </w:style>
  <w:style w:type="character" w:customStyle="1" w:styleId="af8">
    <w:name w:val="Нижний колонтитул Знак"/>
    <w:basedOn w:val="a0"/>
    <w:link w:val="16"/>
    <w:uiPriority w:val="99"/>
    <w:rsid w:val="00D605B4"/>
    <w:rPr>
      <w:rFonts w:ascii="Aptos" w:eastAsia="Aptos" w:hAnsi="Aptos" w:cs="Aptos"/>
      <w:kern w:val="0"/>
      <w:lang w:val="ru" w:eastAsia="uk-UA"/>
      <w14:ligatures w14:val="none"/>
    </w:rPr>
  </w:style>
  <w:style w:type="table" w:styleId="af1">
    <w:name w:val="Table Grid"/>
    <w:basedOn w:val="a1"/>
    <w:uiPriority w:val="39"/>
    <w:rsid w:val="00D605B4"/>
    <w:pPr>
      <w:spacing w:after="0" w:line="240" w:lineRule="auto"/>
    </w:pPr>
    <w:rPr>
      <w:rFonts w:ascii="Aptos" w:eastAsia="Aptos" w:hAnsi="Aptos" w:cs="Aptos"/>
      <w:kern w:val="0"/>
      <w:lang w:val="ru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link w:val="af9"/>
    <w:uiPriority w:val="99"/>
    <w:semiHidden/>
    <w:unhideWhenUsed/>
    <w:rsid w:val="00D605B4"/>
    <w:pPr>
      <w:tabs>
        <w:tab w:val="center" w:pos="4819"/>
        <w:tab w:val="right" w:pos="9639"/>
      </w:tabs>
      <w:spacing w:after="0" w:line="240" w:lineRule="auto"/>
    </w:pPr>
    <w:rPr>
      <w:rFonts w:ascii="Aptos" w:eastAsia="Aptos" w:hAnsi="Aptos" w:cs="Aptos"/>
      <w:kern w:val="0"/>
      <w:lang w:val="ru" w:eastAsia="uk-UA"/>
      <w14:ligatures w14:val="none"/>
    </w:rPr>
  </w:style>
  <w:style w:type="character" w:customStyle="1" w:styleId="af9">
    <w:name w:val="Верхній колонтитул Знак"/>
    <w:basedOn w:val="a0"/>
    <w:link w:val="af5"/>
    <w:uiPriority w:val="99"/>
    <w:semiHidden/>
    <w:rsid w:val="00D605B4"/>
    <w:rPr>
      <w:rFonts w:ascii="Aptos" w:eastAsia="Aptos" w:hAnsi="Aptos" w:cs="Aptos"/>
      <w:kern w:val="0"/>
      <w:lang w:val="ru" w:eastAsia="uk-UA"/>
      <w14:ligatures w14:val="none"/>
    </w:rPr>
  </w:style>
  <w:style w:type="paragraph" w:styleId="af7">
    <w:name w:val="footer"/>
    <w:link w:val="afa"/>
    <w:uiPriority w:val="99"/>
    <w:semiHidden/>
    <w:unhideWhenUsed/>
    <w:rsid w:val="00D605B4"/>
    <w:pPr>
      <w:tabs>
        <w:tab w:val="center" w:pos="4819"/>
        <w:tab w:val="right" w:pos="9639"/>
      </w:tabs>
      <w:spacing w:after="0" w:line="240" w:lineRule="auto"/>
    </w:pPr>
    <w:rPr>
      <w:rFonts w:ascii="Aptos" w:eastAsia="Aptos" w:hAnsi="Aptos" w:cs="Aptos"/>
      <w:kern w:val="0"/>
      <w:lang w:val="ru" w:eastAsia="uk-UA"/>
      <w14:ligatures w14:val="none"/>
    </w:rPr>
  </w:style>
  <w:style w:type="character" w:customStyle="1" w:styleId="afa">
    <w:name w:val="Нижній колонтитул Знак"/>
    <w:basedOn w:val="a0"/>
    <w:link w:val="af7"/>
    <w:uiPriority w:val="99"/>
    <w:semiHidden/>
    <w:rsid w:val="00D605B4"/>
    <w:rPr>
      <w:rFonts w:ascii="Aptos" w:eastAsia="Aptos" w:hAnsi="Aptos" w:cs="Aptos"/>
      <w:kern w:val="0"/>
      <w:lang w:val="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30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30-2021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671-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57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20532</Words>
  <Characters>11704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3</cp:revision>
  <dcterms:created xsi:type="dcterms:W3CDTF">2025-09-22T09:22:00Z</dcterms:created>
  <dcterms:modified xsi:type="dcterms:W3CDTF">2025-09-22T10:02:00Z</dcterms:modified>
</cp:coreProperties>
</file>