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14" w:rsidRPr="001F018E" w:rsidRDefault="00963E14" w:rsidP="00963E14">
      <w:pPr>
        <w:suppressAutoHyphens/>
        <w:autoSpaceDN w:val="0"/>
        <w:jc w:val="right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noProof/>
          <w:kern w:val="3"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00A29E96" wp14:editId="79AA8CFF">
            <wp:simplePos x="0" y="0"/>
            <wp:positionH relativeFrom="margin">
              <wp:posOffset>2821305</wp:posOffset>
            </wp:positionH>
            <wp:positionV relativeFrom="paragraph">
              <wp:posOffset>48895</wp:posOffset>
            </wp:positionV>
            <wp:extent cx="441960" cy="628650"/>
            <wp:effectExtent l="0" t="0" r="0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18E">
        <w:rPr>
          <w:b/>
          <w:kern w:val="3"/>
          <w:sz w:val="26"/>
          <w:szCs w:val="26"/>
        </w:rPr>
        <w:t xml:space="preserve">                                                                                                        </w:t>
      </w:r>
    </w:p>
    <w:p w:rsidR="00963E14" w:rsidRPr="001F018E" w:rsidRDefault="00963E14" w:rsidP="00963E14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ВЕЛИКОДИМЕРСЬКА СЕЛИЩНА РАДА</w:t>
      </w:r>
    </w:p>
    <w:p w:rsidR="00963E14" w:rsidRPr="001F018E" w:rsidRDefault="00963E14" w:rsidP="00963E14">
      <w:pPr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>БРОВАРСЬКОГО РАЙОНУ КИЇВСЬКОЇ ОБЛАСТІ</w:t>
      </w:r>
    </w:p>
    <w:p w:rsidR="00963E14" w:rsidRPr="001F018E" w:rsidRDefault="00963E14" w:rsidP="00963E14">
      <w:pPr>
        <w:tabs>
          <w:tab w:val="left" w:pos="3945"/>
        </w:tabs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963E14" w:rsidRPr="001F018E" w:rsidRDefault="00963E14" w:rsidP="00963E14">
      <w:pPr>
        <w:tabs>
          <w:tab w:val="left" w:pos="3945"/>
        </w:tabs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963E14" w:rsidRPr="001F018E" w:rsidRDefault="00963E14" w:rsidP="00963E14">
      <w:pPr>
        <w:tabs>
          <w:tab w:val="left" w:pos="3945"/>
        </w:tabs>
        <w:suppressAutoHyphens/>
        <w:autoSpaceDN w:val="0"/>
        <w:jc w:val="center"/>
        <w:textAlignment w:val="baseline"/>
        <w:rPr>
          <w:b/>
          <w:kern w:val="3"/>
          <w:sz w:val="26"/>
          <w:szCs w:val="26"/>
        </w:rPr>
      </w:pPr>
      <w:r w:rsidRPr="001F018E">
        <w:rPr>
          <w:b/>
          <w:kern w:val="3"/>
          <w:sz w:val="26"/>
          <w:szCs w:val="26"/>
        </w:rPr>
        <w:t xml:space="preserve">Р І Ш Е Н </w:t>
      </w:r>
      <w:proofErr w:type="spellStart"/>
      <w:r w:rsidRPr="001F018E">
        <w:rPr>
          <w:b/>
          <w:kern w:val="3"/>
          <w:sz w:val="26"/>
          <w:szCs w:val="26"/>
        </w:rPr>
        <w:t>Н</w:t>
      </w:r>
      <w:proofErr w:type="spellEnd"/>
      <w:r w:rsidRPr="001F018E">
        <w:rPr>
          <w:b/>
          <w:kern w:val="3"/>
          <w:sz w:val="26"/>
          <w:szCs w:val="26"/>
        </w:rPr>
        <w:t xml:space="preserve"> Я</w:t>
      </w:r>
    </w:p>
    <w:p w:rsidR="00963E14" w:rsidRPr="001F018E" w:rsidRDefault="00963E14" w:rsidP="00963E14">
      <w:pPr>
        <w:suppressAutoHyphens/>
        <w:autoSpaceDN w:val="0"/>
        <w:textAlignment w:val="baseline"/>
        <w:rPr>
          <w:kern w:val="3"/>
          <w:sz w:val="26"/>
          <w:szCs w:val="26"/>
        </w:rPr>
      </w:pPr>
    </w:p>
    <w:p w:rsidR="006738E0" w:rsidRPr="001F018E" w:rsidRDefault="006738E0" w:rsidP="006738E0">
      <w:pPr>
        <w:rPr>
          <w:rFonts w:eastAsiaTheme="minorHAnsi"/>
          <w:b/>
          <w:sz w:val="28"/>
          <w:szCs w:val="28"/>
          <w:lang w:eastAsia="en-US"/>
        </w:rPr>
      </w:pPr>
      <w:r w:rsidRPr="001F018E">
        <w:rPr>
          <w:rFonts w:eastAsiaTheme="minorHAnsi"/>
          <w:b/>
          <w:sz w:val="28"/>
          <w:szCs w:val="28"/>
          <w:lang w:eastAsia="en-US"/>
        </w:rPr>
        <w:t xml:space="preserve">Про надання дозволу на розробку </w:t>
      </w:r>
    </w:p>
    <w:p w:rsidR="006738E0" w:rsidRPr="001F018E" w:rsidRDefault="006738E0" w:rsidP="006738E0">
      <w:pPr>
        <w:rPr>
          <w:rFonts w:eastAsiaTheme="minorHAnsi"/>
          <w:b/>
          <w:sz w:val="28"/>
          <w:szCs w:val="28"/>
          <w:lang w:eastAsia="en-US"/>
        </w:rPr>
      </w:pPr>
      <w:r w:rsidRPr="001F018E">
        <w:rPr>
          <w:rFonts w:eastAsiaTheme="minorHAnsi"/>
          <w:b/>
          <w:sz w:val="28"/>
          <w:szCs w:val="28"/>
          <w:lang w:eastAsia="en-US"/>
        </w:rPr>
        <w:t>детального плану території</w:t>
      </w:r>
    </w:p>
    <w:p w:rsidR="006738E0" w:rsidRPr="001F018E" w:rsidRDefault="006738E0" w:rsidP="006738E0">
      <w:pPr>
        <w:rPr>
          <w:rFonts w:eastAsiaTheme="minorHAnsi"/>
          <w:b/>
          <w:sz w:val="28"/>
          <w:szCs w:val="28"/>
          <w:lang w:eastAsia="en-US"/>
        </w:rPr>
      </w:pPr>
      <w:r w:rsidRPr="001F018E">
        <w:rPr>
          <w:rFonts w:eastAsiaTheme="minorHAnsi"/>
          <w:b/>
          <w:sz w:val="28"/>
          <w:szCs w:val="28"/>
          <w:lang w:eastAsia="en-US"/>
        </w:rPr>
        <w:t>в с. Шевченкове, вул. Київська, 2</w:t>
      </w:r>
    </w:p>
    <w:p w:rsidR="006738E0" w:rsidRPr="001F018E" w:rsidRDefault="006738E0" w:rsidP="006738E0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738E0" w:rsidRPr="001F018E" w:rsidRDefault="006738E0" w:rsidP="006738E0">
      <w:pPr>
        <w:spacing w:after="160" w:line="259" w:lineRule="auto"/>
        <w:jc w:val="both"/>
        <w:rPr>
          <w:sz w:val="28"/>
          <w:szCs w:val="28"/>
        </w:rPr>
      </w:pPr>
      <w:r w:rsidRPr="001F018E">
        <w:rPr>
          <w:rFonts w:eastAsiaTheme="minorHAnsi"/>
          <w:sz w:val="28"/>
          <w:szCs w:val="28"/>
          <w:lang w:eastAsia="en-US"/>
        </w:rPr>
        <w:t xml:space="preserve">    Розглянувши заяву </w:t>
      </w:r>
      <w:proofErr w:type="spellStart"/>
      <w:r w:rsidRPr="001F018E">
        <w:rPr>
          <w:rFonts w:eastAsiaTheme="minorHAnsi"/>
          <w:sz w:val="28"/>
          <w:szCs w:val="28"/>
          <w:lang w:eastAsia="en-US"/>
        </w:rPr>
        <w:t>Моренко</w:t>
      </w:r>
      <w:proofErr w:type="spellEnd"/>
      <w:r w:rsidRPr="001F018E">
        <w:rPr>
          <w:rFonts w:eastAsiaTheme="minorHAnsi"/>
          <w:sz w:val="28"/>
          <w:szCs w:val="28"/>
          <w:lang w:eastAsia="en-US"/>
        </w:rPr>
        <w:t xml:space="preserve"> Олександра Васильовича щодо надання дозволу на розробку детального плану території, керуючись Законом України «Про регулювання містобудівної діяльності», ст. 12 Земельного кодексу України, ст. ст.  25, 26 Закону України « Про місцеве самоврядування в Україні», </w:t>
      </w:r>
      <w:r w:rsidRPr="001F018E">
        <w:rPr>
          <w:rFonts w:eastAsia="Andale Sans UI"/>
          <w:kern w:val="3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1F018E">
        <w:rPr>
          <w:rFonts w:eastAsia="Andale Sans UI"/>
          <w:kern w:val="3"/>
          <w:sz w:val="28"/>
          <w:szCs w:val="28"/>
          <w:lang w:val="de-DE" w:eastAsia="ja-JP" w:bidi="fa-IR"/>
        </w:rPr>
        <w:t>селищна</w:t>
      </w:r>
      <w:proofErr w:type="spellEnd"/>
      <w:r w:rsidRPr="001F018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F018E">
        <w:rPr>
          <w:rFonts w:eastAsia="Andale Sans UI"/>
          <w:kern w:val="3"/>
          <w:sz w:val="28"/>
          <w:szCs w:val="28"/>
          <w:lang w:val="de-DE" w:eastAsia="ja-JP" w:bidi="fa-IR"/>
        </w:rPr>
        <w:t>рада</w:t>
      </w:r>
      <w:bookmarkStart w:id="0" w:name="_GoBack"/>
      <w:bookmarkEnd w:id="0"/>
      <w:proofErr w:type="spellEnd"/>
    </w:p>
    <w:p w:rsidR="006738E0" w:rsidRPr="001F018E" w:rsidRDefault="006738E0" w:rsidP="006738E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1F018E">
        <w:rPr>
          <w:rFonts w:eastAsiaTheme="minorHAnsi"/>
          <w:b/>
          <w:sz w:val="28"/>
          <w:szCs w:val="28"/>
          <w:lang w:eastAsia="en-US"/>
        </w:rPr>
        <w:t>В И Р І Ш И Л А:</w:t>
      </w:r>
    </w:p>
    <w:p w:rsidR="006738E0" w:rsidRPr="001F018E" w:rsidRDefault="004E519C" w:rsidP="00DA26F0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738E0" w:rsidRPr="001F018E">
        <w:rPr>
          <w:rFonts w:eastAsiaTheme="minorHAnsi"/>
          <w:sz w:val="28"/>
          <w:szCs w:val="28"/>
          <w:lang w:eastAsia="en-US"/>
        </w:rPr>
        <w:t xml:space="preserve">Виконавчому комітету </w:t>
      </w:r>
      <w:proofErr w:type="spellStart"/>
      <w:r w:rsidR="006738E0" w:rsidRPr="001F018E">
        <w:rPr>
          <w:rFonts w:eastAsiaTheme="minorHAnsi"/>
          <w:sz w:val="28"/>
          <w:szCs w:val="28"/>
          <w:lang w:eastAsia="en-US"/>
        </w:rPr>
        <w:t>Великодимерської</w:t>
      </w:r>
      <w:proofErr w:type="spellEnd"/>
      <w:r w:rsidR="006738E0" w:rsidRPr="001F018E">
        <w:rPr>
          <w:rFonts w:eastAsiaTheme="minorHAnsi"/>
          <w:sz w:val="28"/>
          <w:szCs w:val="28"/>
          <w:lang w:eastAsia="en-US"/>
        </w:rPr>
        <w:t xml:space="preserve"> селищної ради  розробити детальний план території  земельної  ділянки  площею  0.2300 га,   кадастровий  номер 3221289501:01:032:0031  для  будівництва та обслуговування цеху по виготовленню металоконструкцій в с. Шевченкове, вул. Київська 2.</w:t>
      </w:r>
    </w:p>
    <w:p w:rsidR="006738E0" w:rsidRPr="001F018E" w:rsidRDefault="006738E0" w:rsidP="004E519C">
      <w:pPr>
        <w:spacing w:after="160" w:line="259" w:lineRule="auto"/>
        <w:ind w:left="645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738E0" w:rsidRPr="001F018E" w:rsidRDefault="004E519C" w:rsidP="004E519C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738E0" w:rsidRPr="001F018E">
        <w:rPr>
          <w:rFonts w:eastAsiaTheme="minorHAnsi"/>
          <w:sz w:val="28"/>
          <w:szCs w:val="28"/>
          <w:lang w:eastAsia="en-US"/>
        </w:rPr>
        <w:t>Укласти договір на розроблення проекту детального плану території з організацією, що  має  фахівців  з  відповідними  кваліфікаційними сертифікатами.</w:t>
      </w:r>
    </w:p>
    <w:p w:rsidR="006738E0" w:rsidRPr="001F018E" w:rsidRDefault="006738E0" w:rsidP="004E519C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738E0" w:rsidRPr="001F018E" w:rsidRDefault="004E519C" w:rsidP="004E519C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6738E0" w:rsidRPr="001F018E">
        <w:rPr>
          <w:rFonts w:eastAsiaTheme="minorHAnsi"/>
          <w:sz w:val="28"/>
          <w:szCs w:val="28"/>
          <w:lang w:eastAsia="en-US"/>
        </w:rPr>
        <w:t>Фінансування робіт з розроблення проекту детального плану території здійснити за рахунок коштів землекористувача.</w:t>
      </w:r>
    </w:p>
    <w:p w:rsidR="006738E0" w:rsidRPr="001F018E" w:rsidRDefault="006738E0" w:rsidP="004E519C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738E0" w:rsidRPr="001F018E" w:rsidRDefault="004E519C" w:rsidP="004E519C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738E0" w:rsidRPr="001F018E">
        <w:rPr>
          <w:rFonts w:eastAsiaTheme="minorHAnsi"/>
          <w:sz w:val="28"/>
          <w:szCs w:val="28"/>
          <w:lang w:eastAsia="en-US"/>
        </w:rPr>
        <w:t>Контроль за виконанням цього рішення покласти на постійну комісію з питань комунальної власності, житлово-комунального господарства, архітектури, будівництва, транспорту і зв’язку.</w:t>
      </w:r>
    </w:p>
    <w:p w:rsidR="006738E0" w:rsidRPr="001F018E" w:rsidRDefault="006738E0" w:rsidP="006738E0">
      <w:pPr>
        <w:spacing w:line="259" w:lineRule="auto"/>
        <w:ind w:right="283"/>
        <w:jc w:val="both"/>
        <w:rPr>
          <w:rFonts w:eastAsiaTheme="minorHAnsi"/>
          <w:sz w:val="24"/>
          <w:szCs w:val="24"/>
          <w:lang w:eastAsia="en-US"/>
        </w:rPr>
      </w:pPr>
      <w:r w:rsidRPr="001F018E">
        <w:rPr>
          <w:rFonts w:eastAsiaTheme="minorHAnsi"/>
          <w:b/>
          <w:sz w:val="28"/>
          <w:szCs w:val="22"/>
          <w:lang w:eastAsia="en-US"/>
        </w:rPr>
        <w:t>Селищний голова</w:t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</w:r>
      <w:r w:rsidRPr="001F018E">
        <w:rPr>
          <w:rFonts w:eastAsiaTheme="minorHAnsi"/>
          <w:b/>
          <w:sz w:val="28"/>
          <w:szCs w:val="22"/>
          <w:lang w:eastAsia="en-US"/>
        </w:rPr>
        <w:tab/>
        <w:t xml:space="preserve">                                                </w:t>
      </w:r>
      <w:r>
        <w:rPr>
          <w:rFonts w:eastAsiaTheme="minorHAnsi"/>
          <w:b/>
          <w:sz w:val="28"/>
          <w:szCs w:val="22"/>
          <w:lang w:eastAsia="en-US"/>
        </w:rPr>
        <w:t xml:space="preserve">А. </w:t>
      </w:r>
      <w:proofErr w:type="spellStart"/>
      <w:r>
        <w:rPr>
          <w:rFonts w:eastAsiaTheme="minorHAnsi"/>
          <w:b/>
          <w:sz w:val="28"/>
          <w:szCs w:val="22"/>
          <w:lang w:eastAsia="en-US"/>
        </w:rPr>
        <w:t>Бочкарьов</w:t>
      </w:r>
      <w:proofErr w:type="spellEnd"/>
      <w:r w:rsidRPr="001F018E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1F018E">
        <w:rPr>
          <w:rFonts w:eastAsiaTheme="minorHAnsi"/>
          <w:sz w:val="24"/>
          <w:szCs w:val="24"/>
          <w:lang w:eastAsia="en-US"/>
        </w:rPr>
        <w:t>смт Велика Димерка</w:t>
      </w:r>
    </w:p>
    <w:p w:rsidR="006738E0" w:rsidRPr="001F018E" w:rsidRDefault="006738E0" w:rsidP="006738E0">
      <w:pPr>
        <w:spacing w:line="259" w:lineRule="auto"/>
        <w:jc w:val="both"/>
        <w:rPr>
          <w:rFonts w:eastAsiaTheme="minorHAnsi"/>
          <w:b/>
          <w:sz w:val="28"/>
          <w:szCs w:val="22"/>
          <w:lang w:eastAsia="en-US"/>
        </w:rPr>
      </w:pPr>
      <w:r w:rsidRPr="001F018E">
        <w:rPr>
          <w:rFonts w:eastAsiaTheme="minorHAnsi"/>
          <w:sz w:val="24"/>
          <w:szCs w:val="24"/>
          <w:lang w:eastAsia="en-US"/>
        </w:rPr>
        <w:t>19 липня 2018 року</w:t>
      </w:r>
    </w:p>
    <w:p w:rsidR="006738E0" w:rsidRPr="001F018E" w:rsidRDefault="004E519C" w:rsidP="006738E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№ 256 </w:t>
      </w:r>
      <w:r w:rsidR="006738E0" w:rsidRPr="001F018E">
        <w:rPr>
          <w:rFonts w:eastAsiaTheme="minorHAnsi"/>
          <w:sz w:val="24"/>
          <w:szCs w:val="24"/>
          <w:lang w:val="ru-RU" w:eastAsia="en-US"/>
        </w:rPr>
        <w:t xml:space="preserve"> </w:t>
      </w:r>
      <w:r w:rsidR="006738E0" w:rsidRPr="001F018E">
        <w:rPr>
          <w:rFonts w:eastAsiaTheme="minorHAnsi"/>
          <w:sz w:val="24"/>
          <w:szCs w:val="24"/>
          <w:lang w:val="en-US" w:eastAsia="en-US"/>
        </w:rPr>
        <w:t>XI</w:t>
      </w:r>
      <w:r w:rsidR="006738E0" w:rsidRPr="001F018E">
        <w:rPr>
          <w:rFonts w:eastAsiaTheme="minorHAnsi"/>
          <w:sz w:val="24"/>
          <w:szCs w:val="24"/>
          <w:lang w:eastAsia="en-US"/>
        </w:rPr>
        <w:t xml:space="preserve"> – </w:t>
      </w:r>
      <w:r w:rsidR="006738E0" w:rsidRPr="001F018E">
        <w:rPr>
          <w:rFonts w:eastAsiaTheme="minorHAnsi"/>
          <w:sz w:val="24"/>
          <w:szCs w:val="24"/>
          <w:lang w:val="en-US" w:eastAsia="en-US"/>
        </w:rPr>
        <w:t>V</w:t>
      </w:r>
      <w:r w:rsidR="006738E0" w:rsidRPr="001F018E">
        <w:rPr>
          <w:rFonts w:eastAsiaTheme="minorHAnsi"/>
          <w:sz w:val="24"/>
          <w:szCs w:val="24"/>
          <w:lang w:eastAsia="en-US"/>
        </w:rPr>
        <w:t>ІІ</w:t>
      </w:r>
    </w:p>
    <w:p w:rsidR="007C4C2E" w:rsidRDefault="007C4C2E"/>
    <w:sectPr w:rsidR="007C4C2E" w:rsidSect="009D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115"/>
    <w:multiLevelType w:val="hybridMultilevel"/>
    <w:tmpl w:val="A3707CFE"/>
    <w:lvl w:ilvl="0" w:tplc="BDEA69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8A"/>
    <w:rsid w:val="00231BBF"/>
    <w:rsid w:val="004E519C"/>
    <w:rsid w:val="004E6092"/>
    <w:rsid w:val="006738E0"/>
    <w:rsid w:val="007C4C2E"/>
    <w:rsid w:val="00963E14"/>
    <w:rsid w:val="009D0FF8"/>
    <w:rsid w:val="00DA26F0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36BE-2B9F-4988-A8FF-D0158D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2018-07-24T09:45:00Z</dcterms:created>
  <dcterms:modified xsi:type="dcterms:W3CDTF">2018-07-25T12:26:00Z</dcterms:modified>
</cp:coreProperties>
</file>