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63" w:rsidRPr="00900C16" w:rsidRDefault="00956163" w:rsidP="0095616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3B83C1BB" wp14:editId="48ABF9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63" w:rsidRPr="00900C16" w:rsidRDefault="00956163" w:rsidP="00956163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956163" w:rsidRPr="00900C16" w:rsidRDefault="00956163" w:rsidP="00956163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956163" w:rsidRPr="00900C16" w:rsidRDefault="00956163" w:rsidP="00956163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технічної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документації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із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встановлення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відновлення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) </w:t>
      </w: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16"/>
          <w:szCs w:val="16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меж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земельних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ділянок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натурі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місцевості</w:t>
      </w:r>
      <w:proofErr w:type="spellEnd"/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</w:p>
    <w:p w:rsidR="00956163" w:rsidRPr="00A14DD0" w:rsidRDefault="00956163" w:rsidP="0095616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26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proofErr w:type="gram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12, 118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громадян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технічної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документації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із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встановлення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відновлення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меж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натурі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місцевості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A14DD0">
        <w:rPr>
          <w:rFonts w:ascii="Uk_Bodoni" w:hAnsi="Uk_Bodoni"/>
          <w:sz w:val="28"/>
        </w:rPr>
        <w:t xml:space="preserve">враховуючи позитивні висновки та рекомендації постійної </w:t>
      </w:r>
      <w:r>
        <w:rPr>
          <w:rFonts w:ascii="Uk_Bodoni" w:hAnsi="Uk_Bodoni"/>
          <w:sz w:val="28"/>
        </w:rPr>
        <w:t xml:space="preserve">депутатської </w:t>
      </w:r>
      <w:r w:rsidRPr="00A14DD0">
        <w:rPr>
          <w:rFonts w:ascii="Uk_Bodoni" w:hAnsi="Uk_Bodoni"/>
          <w:sz w:val="28"/>
        </w:rPr>
        <w:t xml:space="preserve">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956163" w:rsidRPr="00982221" w:rsidRDefault="00956163" w:rsidP="00956163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16"/>
          <w:szCs w:val="16"/>
          <w:lang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6"/>
          <w:szCs w:val="16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jc w:val="both"/>
        <w:rPr>
          <w:rFonts w:eastAsia="Andale Sans UI"/>
          <w:kern w:val="1"/>
          <w:sz w:val="16"/>
          <w:szCs w:val="16"/>
          <w:lang w:val="de-DE" w:eastAsia="ja-JP"/>
        </w:rPr>
      </w:pP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54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8"/>
          <w:lang w:val="de-DE" w:eastAsia="ja-JP"/>
        </w:rPr>
        <w:t>1. 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Надати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дозвіл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розробку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технічної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документації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із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встановлення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(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відновлення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)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меж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в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натурі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місцевості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:</w:t>
      </w: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54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425"/>
        <w:gridCol w:w="1276"/>
        <w:gridCol w:w="1275"/>
        <w:gridCol w:w="1134"/>
        <w:gridCol w:w="1134"/>
        <w:gridCol w:w="1051"/>
      </w:tblGrid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Прізвище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імя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батькові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Адреса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Всього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передано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у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власність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БОЖБ (</w:t>
            </w: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присадибна земельна ділянка</w:t>
            </w: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особистого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селянського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господарства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ведення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товарно-сільсько</w:t>
            </w:r>
            <w:proofErr w:type="spellEnd"/>
          </w:p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28"/>
                <w:szCs w:val="24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гоподарського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виробництва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spacing w:after="160" w:line="259" w:lineRule="auto"/>
              <w:jc w:val="center"/>
              <w:rPr>
                <w:rFonts w:eastAsia="Andale Sans UI"/>
                <w:kern w:val="1"/>
                <w:sz w:val="28"/>
                <w:szCs w:val="24"/>
                <w:lang w:val="de-DE" w:eastAsia="ja-JP"/>
              </w:rPr>
            </w:pPr>
          </w:p>
          <w:p w:rsidR="00956163" w:rsidRPr="00900C16" w:rsidRDefault="00956163" w:rsidP="007A66D2">
            <w:pPr>
              <w:spacing w:after="160" w:line="259" w:lineRule="auto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Для ведення садівництва, га</w:t>
            </w:r>
          </w:p>
          <w:p w:rsidR="00956163" w:rsidRPr="00900C16" w:rsidRDefault="00956163" w:rsidP="007A66D2">
            <w:pPr>
              <w:spacing w:after="160" w:line="259" w:lineRule="auto"/>
              <w:rPr>
                <w:rFonts w:eastAsia="Andale Sans UI"/>
                <w:kern w:val="1"/>
                <w:sz w:val="28"/>
                <w:szCs w:val="24"/>
                <w:lang w:val="de-DE" w:eastAsia="ja-JP"/>
              </w:rPr>
            </w:pPr>
          </w:p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28"/>
                <w:szCs w:val="24"/>
                <w:lang w:val="de-DE" w:eastAsia="ja-JP"/>
              </w:rPr>
            </w:pP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Бойко Наталія Ігорівна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«Семипілля»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Нарожиленко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Сергій Олександрович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«Семипілля»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3.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Рудик Сидір Мусійович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«Яблунька», № 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4.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Ночовський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Сергій Володимирович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«Яблунька», №161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lastRenderedPageBreak/>
              <w:t>5.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Авраменко Лариса Пилипівна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«Колосок», № 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6.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Горголь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Олег Миколайович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СТ « Автомобіліст», №169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0.0600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Євтушенко Євгеній Олексійович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Соборна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0.3450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0.3450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Кондратенко Віктор Григорович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Миру,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0.3372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Хвостенко Лідія Павлівна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Вербна,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10.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Рясенчук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Іван Володимирович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, вул.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Ор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. «Курган»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Попович Софія Михайлівна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, вул.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Ор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. «Курган»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Батечко Людмила Петрівна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с. Шевченкове, вул.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Гілляче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13.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Шута Євдокія Іванівна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Пушкіна, 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14.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Зубковський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Анатолій Миколайович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Котляревського,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15.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Рубанка Анастасія Миколаївна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Озерна,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16.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Кононенко Тетяна Володимирівна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Березнева,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0.3400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17.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Гришко Віта Петрівна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Вокзальна,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Островська Алла Анатоліївна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смт Велика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Димерка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 Олімпійська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19.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Хоменко Анатолій Васильович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С.Шевченкове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вул.Гоголівська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</w:t>
            </w:r>
          </w:p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Дмитренко Валентина Дмитрівна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С.Шевченкове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, вул.Ковпака,30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0,1125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0,1125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</w:t>
            </w:r>
          </w:p>
        </w:tc>
      </w:tr>
      <w:tr w:rsidR="00956163" w:rsidRPr="00900C16" w:rsidTr="007A66D2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163" w:rsidRPr="00900C16" w:rsidRDefault="00956163" w:rsidP="007A6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</w:p>
        </w:tc>
      </w:tr>
    </w:tbl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2. 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Роботи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технічної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документації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із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розпочати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укладання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договору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із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землевпорядною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організацією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яка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має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відподний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дозвіл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(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ліцензію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)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їх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виконання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.</w:t>
      </w: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lastRenderedPageBreak/>
        <w:t>3. 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Технічну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документацію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із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землесутрою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встановлення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(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відновлення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)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меж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в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натурі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місцевості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розробити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погодити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згідно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нормами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чинного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законодавства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України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.</w:t>
      </w: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956163" w:rsidRPr="00900C16" w:rsidRDefault="00956163" w:rsidP="00956163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8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4.</w:t>
      </w:r>
      <w:r w:rsidRPr="00900C16">
        <w:rPr>
          <w:rFonts w:eastAsia="Andale Sans UI"/>
          <w:kern w:val="1"/>
          <w:sz w:val="28"/>
          <w:szCs w:val="24"/>
          <w:lang w:val="ru-RU" w:eastAsia="ja-JP"/>
        </w:rPr>
        <w:t>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Попередити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вищезазначених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громадян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реєстрація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скасовується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кадастровим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реєстром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разі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якщо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протягом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                     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одного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року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здійснення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речове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право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зареєстроване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вини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заявника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(п. 10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ст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. 24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Закону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України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«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Про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державний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земельний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кадастр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>»).</w:t>
      </w:r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 </w:t>
      </w: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00C1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А.Б.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Бочкарьов</w:t>
      </w:r>
      <w:proofErr w:type="spellEnd"/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956163" w:rsidRPr="000E58FC" w:rsidRDefault="00956163" w:rsidP="00956163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956163" w:rsidRPr="000E58FC" w:rsidRDefault="00956163" w:rsidP="00956163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956163" w:rsidRPr="000E58FC" w:rsidRDefault="00956163" w:rsidP="00956163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118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956163" w:rsidRPr="007B5463" w:rsidRDefault="00956163" w:rsidP="0095616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956163" w:rsidRPr="00900C16" w:rsidRDefault="00956163" w:rsidP="0095616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7C4C2E" w:rsidRPr="00956163" w:rsidRDefault="007C4C2E">
      <w:pPr>
        <w:rPr>
          <w:lang w:val="de-DE"/>
        </w:rPr>
      </w:pPr>
    </w:p>
    <w:sectPr w:rsidR="007C4C2E" w:rsidRPr="0095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7"/>
    <w:rsid w:val="00231BBF"/>
    <w:rsid w:val="004E6092"/>
    <w:rsid w:val="007C4C2E"/>
    <w:rsid w:val="00956163"/>
    <w:rsid w:val="00B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CF3B-9550-45D5-BF43-F9DAA18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2018-03-14T10:30:00Z</dcterms:created>
  <dcterms:modified xsi:type="dcterms:W3CDTF">2018-03-14T10:31:00Z</dcterms:modified>
</cp:coreProperties>
</file>